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ind w:leftChars="0"/>
        <w:jc w:val="center"/>
        <w:rPr>
          <w:rStyle w:val="17"/>
          <w:rFonts w:hint="eastAsia" w:ascii="宋体" w:hAnsi="宋体" w:eastAsia="宋体" w:cs="宋体"/>
          <w:b/>
          <w:bCs w:val="0"/>
          <w:sz w:val="36"/>
          <w:szCs w:val="36"/>
        </w:rPr>
      </w:pPr>
      <w:bookmarkStart w:id="0" w:name="_Hlk146268883"/>
      <w:r>
        <w:rPr>
          <w:rStyle w:val="17"/>
          <w:rFonts w:hint="eastAsia" w:ascii="宋体" w:eastAsia="宋体" w:cs="宋体"/>
          <w:b/>
          <w:bCs w:val="0"/>
          <w:sz w:val="36"/>
          <w:szCs w:val="36"/>
          <w:lang w:eastAsia="zh-CN"/>
        </w:rPr>
        <w:t>医院</w:t>
      </w:r>
      <w:r>
        <w:rPr>
          <w:rStyle w:val="17"/>
          <w:rFonts w:hint="eastAsia" w:ascii="宋体" w:hAnsi="宋体" w:eastAsia="宋体" w:cs="宋体"/>
          <w:b/>
          <w:bCs w:val="0"/>
          <w:sz w:val="36"/>
          <w:szCs w:val="36"/>
        </w:rPr>
        <w:t>网络安全等级保护测评服务</w:t>
      </w:r>
    </w:p>
    <w:p>
      <w:pPr>
        <w:pStyle w:val="2"/>
        <w:numPr>
          <w:ilvl w:val="0"/>
          <w:numId w:val="0"/>
        </w:numPr>
        <w:spacing w:line="360" w:lineRule="auto"/>
        <w:ind w:leftChars="0"/>
        <w:jc w:val="center"/>
        <w:rPr>
          <w:rStyle w:val="17"/>
          <w:rFonts w:hint="eastAsia" w:ascii="宋体" w:hAnsi="宋体" w:eastAsia="宋体" w:cs="宋体"/>
          <w:b/>
          <w:bCs w:val="0"/>
          <w:sz w:val="36"/>
          <w:szCs w:val="36"/>
          <w:lang w:eastAsia="zh-CN"/>
        </w:rPr>
      </w:pPr>
      <w:r>
        <w:rPr>
          <w:rStyle w:val="17"/>
          <w:rFonts w:hint="eastAsia" w:ascii="宋体" w:hAnsi="宋体" w:eastAsia="宋体" w:cs="宋体"/>
          <w:b/>
          <w:bCs w:val="0"/>
          <w:sz w:val="36"/>
          <w:szCs w:val="36"/>
        </w:rPr>
        <w:t>项目</w:t>
      </w:r>
      <w:r>
        <w:rPr>
          <w:rStyle w:val="17"/>
          <w:rFonts w:hint="eastAsia" w:ascii="宋体" w:eastAsia="宋体" w:cs="宋体"/>
          <w:b/>
          <w:bCs w:val="0"/>
          <w:sz w:val="36"/>
          <w:szCs w:val="36"/>
          <w:lang w:eastAsia="zh-CN"/>
        </w:rPr>
        <w:t>参数及要求</w:t>
      </w:r>
    </w:p>
    <w:p>
      <w:pPr>
        <w:pStyle w:val="2"/>
        <w:numPr>
          <w:ilvl w:val="0"/>
          <w:numId w:val="0"/>
        </w:numPr>
        <w:spacing w:line="360" w:lineRule="auto"/>
        <w:ind w:leftChars="0"/>
        <w:rPr>
          <w:rStyle w:val="17"/>
          <w:rFonts w:hint="eastAsia" w:ascii="宋体" w:hAnsi="宋体" w:eastAsia="宋体" w:cs="宋体"/>
          <w:b w:val="0"/>
        </w:rPr>
      </w:pPr>
      <w:r>
        <w:rPr>
          <w:rStyle w:val="17"/>
          <w:rFonts w:hint="eastAsia" w:ascii="宋体" w:eastAsia="宋体" w:cs="宋体"/>
          <w:b/>
          <w:lang w:val="en-US" w:eastAsia="zh-CN"/>
        </w:rPr>
        <w:t>1.</w:t>
      </w:r>
      <w:r>
        <w:rPr>
          <w:rStyle w:val="17"/>
          <w:rFonts w:hint="eastAsia" w:ascii="宋体" w:hAnsi="宋体" w:eastAsia="宋体" w:cs="宋体"/>
          <w:b/>
          <w:lang w:val="en-US" w:eastAsia="zh-CN"/>
        </w:rPr>
        <w:t>服务</w:t>
      </w:r>
      <w:r>
        <w:rPr>
          <w:rStyle w:val="17"/>
          <w:rFonts w:hint="eastAsia" w:ascii="宋体" w:hAnsi="宋体" w:eastAsia="宋体" w:cs="宋体"/>
          <w:b/>
        </w:rPr>
        <w:t>要求</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1.1.</w:t>
      </w:r>
      <w:r>
        <w:rPr>
          <w:rStyle w:val="17"/>
          <w:rFonts w:hint="eastAsia" w:ascii="宋体" w:hAnsi="宋体" w:eastAsia="宋体" w:cs="宋体"/>
          <w:b/>
        </w:rPr>
        <w:t>等保测评服务</w:t>
      </w:r>
    </w:p>
    <w:p>
      <w:pPr>
        <w:numPr>
          <w:ilvl w:val="0"/>
          <w:numId w:val="4"/>
        </w:numPr>
        <w:adjustRightInd w:val="0"/>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定级备案</w:t>
      </w:r>
    </w:p>
    <w:p>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依据《信息安全等级保护定级指南》（GB/T22240-2020）的要求，各信息系统将以系统为单位开展定级工作。定级工作主要是依据业务信息安全和系统服务安全两方面的重要程度来确定安全等级。</w:t>
      </w:r>
    </w:p>
    <w:p>
      <w:pPr>
        <w:spacing w:line="360" w:lineRule="auto"/>
        <w:ind w:firstLine="482"/>
        <w:jc w:val="both"/>
        <w:rPr>
          <w:rFonts w:hint="eastAsia" w:ascii="宋体" w:hAnsi="宋体" w:eastAsia="宋体" w:cs="宋体"/>
          <w:b/>
          <w:sz w:val="24"/>
          <w:szCs w:val="24"/>
        </w:rPr>
      </w:pPr>
      <w:r>
        <w:rPr>
          <w:rFonts w:hint="eastAsia" w:ascii="宋体" w:hAnsi="宋体" w:eastAsia="宋体" w:cs="宋体"/>
          <w:b/>
          <w:sz w:val="24"/>
          <w:szCs w:val="24"/>
        </w:rPr>
        <w:t>主要定级流程如下：</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确定作为定级对象的信息系统；</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确定业务信息和系统服务安全受到破坏时所侵害的客体；</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根据不同的受侵害客体，综合评定对客体的侵害程度；</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确定业务信息和系统服务两方面安全保护等级；</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确定信息系统安全保护等级；</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形成各信息系统的《定级报告》；</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完成各信息系统的《备案表》；</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专家对《定级报告》、《备案表》进行评审；</w:t>
      </w:r>
    </w:p>
    <w:p>
      <w:pPr>
        <w:pStyle w:val="37"/>
        <w:numPr>
          <w:ilvl w:val="0"/>
          <w:numId w:val="5"/>
        </w:num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报送信息安全等级保护工作协调小组，获得《备案证明》。</w:t>
      </w:r>
    </w:p>
    <w:p>
      <w:pPr>
        <w:adjustRightInd w:val="0"/>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）等级保护测评</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工作阶段、流程、内容、及成果交付严格遵循《信息安全技术 网络安全等级保护测评要求》（GB/T 28448-2019)和《信息安全技术 网络安全等级保护测评过程指南》（GB/T 28449-2018）文件，根据系统等级开展相应级别的单项测评和整体测评。测评报告内容及格式严格遵照《网络安全等级保护测评报告模版（2021年版）》。</w:t>
      </w:r>
    </w:p>
    <w:p>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按照《信息安全等级保护管理办法》、《信息安全技术 网络安全等级保护实施指南》（GB∕T 25058-2019），遵循《信息安全技术 网络安全等级保护基本要求》（GB/T 22239-2019）等技术标准，从每个信息系统的安全物理环境、安全通信网络、安全区域边界、安全计算环境、安全管理中心、安全管理制度、安全管理机构、安全管理人员、安全建设管理、安全运维管理等10个层面进行测评，依据信息系统的业务应用和内外部环境，深入调研分析各信息系统资产状况和重要性程度，以及面临网络安全的威胁。</w:t>
      </w:r>
    </w:p>
    <w:p>
      <w:pPr>
        <w:adjustRightInd w:val="0"/>
        <w:snapToGrid w:val="0"/>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val="en-US" w:eastAsia="zh-CN"/>
        </w:rPr>
        <w:t>服务频次及周期：两个等保二级信息系统（医院HIS系统和医院网站），服务周期两年。</w:t>
      </w:r>
    </w:p>
    <w:p>
      <w:pPr>
        <w:adjustRightInd w:val="0"/>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工作过程文件及项目交付成果（包括但不限于）：《网络安全等级保护测评报告》</w:t>
      </w:r>
      <w:r>
        <w:rPr>
          <w:rFonts w:hint="eastAsia" w:ascii="宋体" w:hAnsi="宋体" w:cs="宋体"/>
          <w:b/>
          <w:bCs/>
          <w:sz w:val="24"/>
          <w:lang w:val="en-US" w:eastAsia="zh-CN"/>
        </w:rPr>
        <w:t>、《备案证明》</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1.2.</w:t>
      </w:r>
      <w:r>
        <w:rPr>
          <w:rStyle w:val="17"/>
          <w:rFonts w:hint="eastAsia" w:ascii="宋体" w:hAnsi="宋体" w:eastAsia="宋体" w:cs="宋体"/>
          <w:b/>
          <w:lang w:val="en-US" w:eastAsia="zh-CN"/>
        </w:rPr>
        <w:t>风险评估</w:t>
      </w:r>
      <w:r>
        <w:rPr>
          <w:rStyle w:val="17"/>
          <w:rFonts w:hint="eastAsia" w:ascii="宋体" w:hAnsi="宋体" w:eastAsia="宋体" w:cs="宋体"/>
          <w:b/>
        </w:rPr>
        <w:t>服务</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1）标准依据</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本次评估所依据的标准规范为《GB/T 20984-2007信息安全技术信息安全风险评估规范》</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2）评估工作过程</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GB/T 20984-2007规定了风险评估的实施流程，根据流程中的各项工作内容，一般将风险评估实施划分为评估准备、风险要素识别、风险分析与风险处置四个阶段。其中，评估准备阶段工作是对评估实施有效性的保证；风险要素识别阶段工作主要是对评估活动中的各类关键要素资产、威胁、脆弱性、安全措施进行识别与赋值；风险分析阶段工作主要是对识别阶段中获得的各类信息进行关联分析，并计算风险值；风险处置建议工作主要针对评估出的风险，提出相应的处置建议，以及按照处置建议实施安全加固后进行残余风险处置等内容。</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3）准备阶段</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风险评估的准备阶段的主要工作内容有：培训与编制计划。</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培训一般指评估方根据评估目标，对项目组进行培训。所有培训均采用培训记录方式进行留档备案。风险评估计划由项目组组长与被评估方进行充分沟通，编制出本次风险评估项目计划草案，一般包括工作目标、评估范围、项目实施的团队、评估的依据和方法、本次风险评估工作成果等内容。草案提交整个风险评估小组进行会议审定，项目组组长按照审定意见进行修改，形成风险评估方案</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4）资产识别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资产识别工作主要参照GB/T 20984-2007《信息安全风险评估规范》及《信息安全风险评估认证实施细则》对资产分类和资产赋值。</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5）威胁识别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威胁识别工作主要参照GB/T 20984-2007《信息安全风险评估规范》及《信息安全风险评估认证实施细则》对威胁识别和赋值。</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结合一系列成熟的调研参考表对威胁进行识别确认。</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6）脆弱性识别</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脆弱性识别是风险评估中最重要的一个环节。脆弱性可从技术和管理两个方面进行识别。技术方面，可从物理环境、网络、主机系统、应用系统、数据等方面识别资产的脆弱性；管理方面，可从安全管理机构、安全管理策略、安全管理制度、人员安全管理、系统运维管理等方面识别其脆弱性。</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7）已有安全措施确认</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识别脆弱性同时，评估人员应对已采取的安全措施及其有效性进行确认。安全措施的确认应分析其有效性。对有效的安全措施继续保持，以避免不必要的工作和费用；对认为不适当的安全措施应与被评估方共同核实是否需要取消或对其进行修正。</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8）风险分析</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评估的结果进行等级化处理，一般分为5级。根据所采用的风险计算方法（明确：风险计算方法），计算每种资产面临的风险值，根据风险值的分布状况，为每个等级设定风险值范围，并对所有风险计算结果进行等级处理。</w:t>
      </w:r>
    </w:p>
    <w:p>
      <w:pPr>
        <w:autoSpaceDE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9）协助整改</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风险分析工作完成之后生成安全风险清单，基于风险清单确认风险是否可接受，如果不可能接受协助</w:t>
      </w:r>
      <w:r>
        <w:rPr>
          <w:rFonts w:hint="eastAsia" w:ascii="宋体" w:hAnsi="宋体" w:cs="宋体"/>
          <w:sz w:val="24"/>
          <w:lang w:eastAsia="zh-CN"/>
        </w:rPr>
        <w:t>医院</w:t>
      </w:r>
      <w:r>
        <w:rPr>
          <w:rFonts w:hint="eastAsia" w:ascii="宋体" w:hAnsi="宋体" w:eastAsia="宋体" w:cs="宋体"/>
          <w:sz w:val="24"/>
        </w:rPr>
        <w:t>整改，按照风险问题的不同提供相应整改支撑工作。</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风险评估报告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1.3.</w:t>
      </w:r>
      <w:r>
        <w:rPr>
          <w:rStyle w:val="17"/>
          <w:rFonts w:hint="eastAsia" w:ascii="宋体" w:eastAsia="宋体" w:cs="宋体"/>
          <w:b/>
          <w:lang w:val="en-US" w:eastAsia="zh-CN"/>
        </w:rPr>
        <w:t>网络安全</w:t>
      </w:r>
      <w:r>
        <w:rPr>
          <w:rStyle w:val="17"/>
          <w:rFonts w:hint="eastAsia" w:ascii="宋体" w:hAnsi="宋体" w:eastAsia="宋体" w:cs="宋体"/>
          <w:b/>
          <w:lang w:val="en-US" w:eastAsia="zh-CN"/>
        </w:rPr>
        <w:t>培训</w:t>
      </w:r>
      <w:r>
        <w:rPr>
          <w:rStyle w:val="17"/>
          <w:rFonts w:hint="eastAsia" w:ascii="宋体" w:hAnsi="宋体" w:eastAsia="宋体" w:cs="宋体"/>
          <w:b/>
        </w:rPr>
        <w:t>服务</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根据不同的用户类型安排有针对性地培训内容。</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管理人员主要包括：高层管理、业务专家等。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培训目标：对管理人员的培训，目的是使他们了解国家相关部门对系统信息安全管理和建设的相关标准，同时建立起一套具有针对性和适用性的安全管理办法。</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技术人员主要包括：操作人员、开发人员、维护人员等。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培训目标：对技术人员的培训，目的是使他们了解信息系统所面临的严峻安全威胁和挑战，以及如何进行全面有效的安全防护措施。</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rPr>
        <w:t>全员培训主要包括：安全意识培训等。</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培训目标：全体成员的培训，目的是让大家对信息安全的有初步的认识和逐步增强安全意识，让安全事故可以得到有效地避免。</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培训课件</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1.4.</w:t>
      </w:r>
      <w:r>
        <w:rPr>
          <w:rStyle w:val="17"/>
          <w:rFonts w:hint="eastAsia" w:ascii="宋体" w:hAnsi="宋体" w:eastAsia="宋体" w:cs="宋体"/>
          <w:b/>
          <w:lang w:val="en-US" w:eastAsia="zh-CN"/>
        </w:rPr>
        <w:t>漏洞扫描</w:t>
      </w:r>
      <w:r>
        <w:rPr>
          <w:rStyle w:val="17"/>
          <w:rFonts w:hint="eastAsia" w:ascii="宋体" w:hAnsi="宋体" w:eastAsia="宋体" w:cs="宋体"/>
          <w:b/>
        </w:rPr>
        <w:t>服务</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对</w:t>
      </w:r>
      <w:r>
        <w:rPr>
          <w:rFonts w:hint="eastAsia" w:ascii="宋体" w:hAnsi="宋体" w:eastAsia="宋体" w:cs="宋体"/>
          <w:sz w:val="24"/>
          <w:lang w:val="en-US" w:eastAsia="zh-CN"/>
        </w:rPr>
        <w:t>医院</w:t>
      </w:r>
      <w:r>
        <w:rPr>
          <w:rFonts w:hint="eastAsia" w:ascii="宋体" w:hAnsi="宋体" w:eastAsia="宋体" w:cs="宋体"/>
          <w:sz w:val="24"/>
        </w:rPr>
        <w:t>系统资产开展例行安全扫描、对扫描出漏洞进行漏洞验证，确认漏洞是否存在。对漏洞整改开展支撑和复测等工作，积极跟踪漏洞的整改状态，提出可落地的整改建议。</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用行业认可、安全合规的漏洞扫描系统，通过定制的扫描规则，形成安全扫描策略文档，对服务器操作系统、网络设备、安全设备及应用层等进行自动化安全扫描，扫描内容包括但不限于空间资产探测、系统漏洞扫描、WEB漏洞扫描、网站安全监测、数据库漏洞扫描、基线配置核查、工控漏洞扫描、大数据漏洞扫描、Docker漏洞扫描、系统渗透测试、网络流量分析、源代码安全审计、离线弱口令扫描、木马病毒扫描、漏洞工单管理、视频监控安全检测、WIFI安全检测、APP漏洞扫描、Windows安全加固等保合规关联等进行全量漏洞扫描。输出安全扫描报告提供修复建议，并协助</w:t>
      </w:r>
      <w:r>
        <w:rPr>
          <w:rFonts w:hint="eastAsia" w:ascii="宋体" w:hAnsi="宋体" w:cs="宋体"/>
          <w:sz w:val="24"/>
          <w:lang w:eastAsia="zh-CN"/>
        </w:rPr>
        <w:t>医院</w:t>
      </w:r>
      <w:r>
        <w:rPr>
          <w:rFonts w:hint="eastAsia" w:ascii="宋体" w:hAnsi="宋体" w:eastAsia="宋体" w:cs="宋体"/>
          <w:sz w:val="24"/>
        </w:rPr>
        <w:t>进行漏洞修复。</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通过web后门检查工具，针对网站或应用系统服务器所有文件进行安全扫描，发现系统文件中潜在的webshell、网页后门等恶意文件，提供修复建议，并协助</w:t>
      </w:r>
      <w:r>
        <w:rPr>
          <w:rFonts w:hint="eastAsia" w:ascii="宋体" w:hAnsi="宋体" w:cs="宋体"/>
          <w:sz w:val="24"/>
          <w:lang w:eastAsia="zh-CN"/>
        </w:rPr>
        <w:t>医院</w:t>
      </w:r>
      <w:r>
        <w:rPr>
          <w:rFonts w:hint="eastAsia" w:ascii="宋体" w:hAnsi="宋体" w:eastAsia="宋体" w:cs="宋体"/>
          <w:sz w:val="24"/>
        </w:rPr>
        <w:t>进行漏洞修复。</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漏洞扫描报告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1.5.</w:t>
      </w:r>
      <w:r>
        <w:rPr>
          <w:rStyle w:val="17"/>
          <w:rFonts w:hint="eastAsia" w:ascii="宋体" w:hAnsi="宋体" w:eastAsia="宋体" w:cs="宋体"/>
          <w:b/>
          <w:lang w:val="en-US" w:eastAsia="zh-CN"/>
        </w:rPr>
        <w:t>应急</w:t>
      </w:r>
      <w:r>
        <w:rPr>
          <w:rStyle w:val="17"/>
          <w:rFonts w:hint="eastAsia" w:ascii="宋体" w:eastAsia="宋体" w:cs="宋体"/>
          <w:b/>
          <w:lang w:val="en-US" w:eastAsia="zh-CN"/>
        </w:rPr>
        <w:t>演练</w:t>
      </w:r>
      <w:r>
        <w:rPr>
          <w:rStyle w:val="17"/>
          <w:rFonts w:hint="eastAsia" w:ascii="宋体" w:hAnsi="宋体" w:eastAsia="宋体" w:cs="宋体"/>
          <w:b/>
        </w:rPr>
        <w:t>服务</w:t>
      </w:r>
    </w:p>
    <w:p>
      <w:pPr>
        <w:pStyle w:val="3"/>
        <w:numPr>
          <w:ilvl w:val="1"/>
          <w:numId w:val="0"/>
        </w:numPr>
        <w:spacing w:line="360" w:lineRule="auto"/>
        <w:ind w:left="575" w:leftChars="0" w:hanging="575" w:firstLineChars="0"/>
        <w:rPr>
          <w:rStyle w:val="17"/>
          <w:rFonts w:hint="eastAsia" w:ascii="宋体" w:hAnsi="Times New Roman" w:eastAsia="宋体" w:cs="宋体"/>
          <w:b/>
          <w:lang w:val="en-US" w:eastAsia="zh-CN"/>
        </w:rPr>
      </w:pPr>
      <w:bookmarkStart w:id="1" w:name="_Toc1353"/>
      <w:bookmarkStart w:id="2" w:name="_Toc168993732"/>
      <w:bookmarkStart w:id="3" w:name="_Toc136877632"/>
      <w:bookmarkStart w:id="4" w:name="_Toc153357123"/>
      <w:r>
        <w:rPr>
          <w:rStyle w:val="17"/>
          <w:rFonts w:hint="eastAsia" w:ascii="宋体" w:hAnsi="Times New Roman" w:eastAsia="宋体" w:cs="宋体"/>
          <w:b/>
          <w:lang w:val="en-US" w:eastAsia="zh-CN"/>
        </w:rPr>
        <w:t>1.5.1.应急演练内容</w:t>
      </w:r>
      <w:bookmarkEnd w:id="1"/>
      <w:bookmarkEnd w:id="2"/>
      <w:bookmarkEnd w:id="3"/>
      <w:bookmarkEnd w:id="4"/>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参考相关标准</w:t>
      </w:r>
      <w:r>
        <w:rPr>
          <w:rFonts w:hint="eastAsia" w:ascii="宋体" w:hAnsi="宋体" w:cs="宋体"/>
          <w:szCs w:val="24"/>
          <w:lang w:eastAsia="zh-CN"/>
        </w:rPr>
        <w:t>协助医院</w:t>
      </w:r>
      <w:r>
        <w:rPr>
          <w:rFonts w:hint="eastAsia" w:ascii="宋体" w:hAnsi="宋体" w:eastAsia="宋体" w:cs="宋体"/>
          <w:szCs w:val="24"/>
        </w:rPr>
        <w:t>建立科学合理的应急演练，在</w:t>
      </w:r>
      <w:r>
        <w:rPr>
          <w:rFonts w:hint="eastAsia" w:ascii="宋体" w:hAnsi="宋体" w:cs="宋体"/>
          <w:szCs w:val="24"/>
          <w:lang w:eastAsia="zh-CN"/>
        </w:rPr>
        <w:t>医院</w:t>
      </w:r>
      <w:r>
        <w:rPr>
          <w:rFonts w:hint="eastAsia" w:ascii="宋体" w:hAnsi="宋体" w:eastAsia="宋体" w:cs="宋体"/>
          <w:szCs w:val="24"/>
        </w:rPr>
        <w:t>的信息系统出现重大突发安全事件时可以通过前期预演达到的效果，最大程度减少信息安全事件造成的损害，保障</w:t>
      </w:r>
      <w:r>
        <w:rPr>
          <w:rFonts w:hint="eastAsia" w:ascii="宋体" w:hAnsi="宋体" w:cs="宋体"/>
          <w:szCs w:val="24"/>
          <w:lang w:eastAsia="zh-CN"/>
        </w:rPr>
        <w:t>医院</w:t>
      </w:r>
      <w:r>
        <w:rPr>
          <w:rFonts w:hint="eastAsia" w:ascii="宋体" w:hAnsi="宋体" w:eastAsia="宋体" w:cs="宋体"/>
          <w:szCs w:val="24"/>
        </w:rPr>
        <w:t>信息系统安全。</w:t>
      </w:r>
    </w:p>
    <w:p>
      <w:pPr>
        <w:pStyle w:val="5"/>
        <w:numPr>
          <w:ilvl w:val="2"/>
          <w:numId w:val="0"/>
        </w:numPr>
        <w:bidi w:val="0"/>
        <w:ind w:left="0" w:leftChars="0" w:firstLine="0" w:firstLineChars="0"/>
        <w:rPr>
          <w:rFonts w:hint="eastAsia" w:ascii="宋体" w:hAnsi="宋体" w:eastAsia="宋体" w:cs="宋体"/>
        </w:rPr>
      </w:pPr>
      <w:bookmarkStart w:id="5" w:name="_Toc3485"/>
      <w:bookmarkStart w:id="6" w:name="_Toc136877633"/>
      <w:bookmarkStart w:id="7" w:name="_Toc8074"/>
      <w:bookmarkStart w:id="8" w:name="_Toc153357124"/>
      <w:bookmarkStart w:id="9" w:name="_Toc168993733"/>
      <w:bookmarkStart w:id="10" w:name="_Toc16900"/>
      <w:r>
        <w:rPr>
          <w:rFonts w:hint="eastAsia" w:ascii="幼圆" w:hAnsi="宋体" w:eastAsia="幼圆" w:cs="宋体"/>
          <w:b/>
          <w:bCs/>
          <w:kern w:val="0"/>
          <w:sz w:val="28"/>
          <w:szCs w:val="28"/>
          <w:lang w:val="en-US" w:eastAsia="zh-CN" w:bidi="ar-SA"/>
        </w:rPr>
        <w:t>1.5.2.</w:t>
      </w:r>
      <w:r>
        <w:rPr>
          <w:rFonts w:hint="eastAsia" w:ascii="宋体" w:hAnsi="宋体" w:eastAsia="宋体" w:cs="宋体"/>
        </w:rPr>
        <w:t>应急演练流程</w:t>
      </w:r>
      <w:bookmarkEnd w:id="5"/>
      <w:bookmarkEnd w:id="6"/>
      <w:bookmarkEnd w:id="7"/>
      <w:bookmarkEnd w:id="8"/>
      <w:bookmarkEnd w:id="9"/>
      <w:bookmarkEnd w:id="10"/>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安全应急演练服务为分三个阶段：应急演练准备阶段、应急演练实施阶段、应急演练收尾阶段：</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应急演练准备：根据实际情况来进行制定演练的计划、演练方案，在计划、方案中要体现出安全事故的发生、人员的调动、事故的处理等详细的流程，并且在演练前对参与演练的动员人员进行培训、讲解。</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应急演练实施：根据制定的演练方案来进行应急演练，安全事故发生、事故处理、业务恢复的一整套流程。</w:t>
      </w:r>
    </w:p>
    <w:p>
      <w:pPr>
        <w:spacing w:before="100" w:beforeAutospacing="1" w:after="100" w:afterAutospacing="1"/>
        <w:ind w:firstLine="480"/>
        <w:jc w:val="both"/>
        <w:rPr>
          <w:rFonts w:hint="eastAsia" w:ascii="宋体" w:hAnsi="宋体" w:eastAsia="宋体" w:cs="宋体"/>
          <w:szCs w:val="24"/>
        </w:rPr>
      </w:pPr>
      <w:r>
        <w:rPr>
          <w:rFonts w:hint="eastAsia" w:ascii="宋体" w:hAnsi="宋体" w:eastAsia="宋体" w:cs="宋体"/>
          <w:szCs w:val="24"/>
        </w:rPr>
        <w:t>应急演练收尾：演练结束后，对此次演练的全过程进行评估总结。</w:t>
      </w:r>
    </w:p>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服务频次及周期：每年一次，服务周期两年。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应急演练脚本及总结</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cs="宋体"/>
          <w:b/>
          <w:bCs/>
          <w:spacing w:val="-1"/>
          <w:sz w:val="24"/>
          <w:szCs w:val="24"/>
          <w:lang w:eastAsia="zh-CN"/>
        </w:rPr>
      </w:pPr>
    </w:p>
    <w:p>
      <w:pPr>
        <w:pStyle w:val="3"/>
        <w:numPr>
          <w:ilvl w:val="1"/>
          <w:numId w:val="0"/>
        </w:numPr>
        <w:spacing w:line="360" w:lineRule="auto"/>
        <w:ind w:left="575" w:leftChars="0" w:hanging="575" w:firstLineChars="0"/>
        <w:rPr>
          <w:rStyle w:val="17"/>
          <w:rFonts w:hint="eastAsia" w:ascii="宋体" w:hAnsi="宋体" w:eastAsia="宋体" w:cs="宋体"/>
          <w:b/>
        </w:rPr>
      </w:pPr>
      <w:r>
        <w:rPr>
          <w:rFonts w:hint="eastAsia" w:ascii="幼圆" w:hAnsi="宋体" w:eastAsia="幼圆" w:cs="宋体"/>
          <w:b/>
          <w:bCs/>
          <w:kern w:val="0"/>
          <w:sz w:val="28"/>
          <w:szCs w:val="28"/>
          <w:lang w:val="en-US" w:eastAsia="zh-CN" w:bidi="ar-SA"/>
        </w:rPr>
        <w:t>1.6.</w:t>
      </w:r>
      <w:r>
        <w:rPr>
          <w:rStyle w:val="17"/>
          <w:rFonts w:hint="eastAsia" w:ascii="宋体" w:hAnsi="宋体" w:eastAsia="宋体" w:cs="宋体"/>
          <w:b/>
          <w:lang w:val="en-US" w:eastAsia="zh-CN"/>
        </w:rPr>
        <w:t>应急响应支撑</w:t>
      </w:r>
      <w:r>
        <w:rPr>
          <w:rStyle w:val="17"/>
          <w:rFonts w:hint="eastAsia" w:ascii="宋体" w:hAnsi="宋体" w:eastAsia="宋体" w:cs="宋体"/>
          <w:b/>
        </w:rPr>
        <w:t>服务</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针对</w:t>
      </w:r>
      <w:r>
        <w:rPr>
          <w:rFonts w:hint="eastAsia" w:ascii="宋体" w:hAnsi="宋体" w:eastAsia="宋体" w:cs="宋体"/>
          <w:sz w:val="24"/>
          <w:lang w:val="en-US" w:eastAsia="zh-CN"/>
        </w:rPr>
        <w:t>医院</w:t>
      </w:r>
      <w:r>
        <w:rPr>
          <w:rFonts w:hint="eastAsia" w:ascii="宋体" w:hAnsi="宋体" w:eastAsia="宋体" w:cs="宋体"/>
          <w:sz w:val="24"/>
        </w:rPr>
        <w:t>可能发生的主要三大类紧急事件（病毒和蠕虫事件、黑客入侵事件、误操作或设备故障事件）进行快速响应，最大程度上减少因为信息安全事件而带来的直接或间接的经济损失，缩小事件影响范围。</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根据以上分类事件进行应急响应，具体到常见安全事件主要为病毒暴发、入侵和DDOS攻击、页面篡改、设备故障等问题，响应流程如下：</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1）事件响应</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分析小组接到值班人员有关事件的汇报后，首先通过电话指导值班人员对问题进行分析，根据问题分析的情况准备相应工具并立即赶赴现场。</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2）调查分析</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分析小组到达现场对防火墙、操作系统、审计系统、应用系统的日志进行分析，定位事件的类型，事件产生并保存相应的数据（如日志）。</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3）制定方案</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根据调查分析的结果，评估事件影响的主机与系统。根据事件的影响选择安全措施，制定响应方案。</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4）安全措施</w:t>
      </w:r>
    </w:p>
    <w:p>
      <w:pPr>
        <w:autoSpaceDE w:val="0"/>
        <w:spacing w:line="360" w:lineRule="auto"/>
        <w:ind w:firstLine="480" w:firstLineChars="200"/>
        <w:rPr>
          <w:rFonts w:hint="eastAsia" w:ascii="宋体" w:hAnsi="宋体" w:eastAsia="宋体" w:cs="宋体"/>
          <w:sz w:val="24"/>
        </w:rPr>
      </w:pPr>
      <w:r>
        <w:rPr>
          <w:rFonts w:hint="eastAsia" w:ascii="宋体" w:hAnsi="宋体" w:eastAsia="宋体" w:cs="宋体"/>
          <w:sz w:val="24"/>
        </w:rPr>
        <w:t>针对不同的安全事件，专业化定制不同的安全措施，主要为遏制影响范围，对系统进行备份、恢复、安全加固以及对攻击的反向追踪。</w:t>
      </w:r>
    </w:p>
    <w:bookmarkEnd w:id="0"/>
    <w:p>
      <w:pPr>
        <w:keepNext w:val="0"/>
        <w:keepLines w:val="0"/>
        <w:pageBreakBefore w:val="0"/>
        <w:widowControl w:val="0"/>
        <w:kinsoku/>
        <w:wordWrap/>
        <w:overflowPunct/>
        <w:topLinePunct w:val="0"/>
        <w:autoSpaceDE w:val="0"/>
        <w:autoSpaceDN/>
        <w:bidi w:val="0"/>
        <w:adjustRightInd w:val="0"/>
        <w:snapToGrid w:val="0"/>
        <w:spacing w:line="360" w:lineRule="auto"/>
        <w:ind w:firstLine="482" w:firstLineChars="200"/>
        <w:textAlignment w:val="auto"/>
        <w:rPr>
          <w:rFonts w:hint="default" w:ascii="宋体" w:hAnsi="宋体" w:eastAsia="宋体" w:cs="宋体"/>
          <w:b/>
          <w:bCs/>
          <w:sz w:val="24"/>
          <w:lang w:val="en-US" w:eastAsia="zh-CN"/>
        </w:rPr>
      </w:pPr>
      <w:bookmarkStart w:id="11" w:name="_Toc39419580"/>
      <w:r>
        <w:rPr>
          <w:rFonts w:hint="eastAsia" w:ascii="宋体" w:hAnsi="宋体" w:cs="宋体"/>
          <w:b/>
          <w:bCs/>
          <w:sz w:val="24"/>
          <w:lang w:val="en-US" w:eastAsia="zh-CN"/>
        </w:rPr>
        <w:t>服务频次及周期：按需，服务周期两年。</w:t>
      </w:r>
    </w:p>
    <w:p>
      <w:pPr>
        <w:keepNext w:val="0"/>
        <w:keepLines w:val="0"/>
        <w:pageBreakBefore w:val="0"/>
        <w:widowControl w:val="0"/>
        <w:kinsoku/>
        <w:wordWrap/>
        <w:overflowPunct/>
        <w:topLinePunct w:val="0"/>
        <w:autoSpaceDN/>
        <w:bidi w:val="0"/>
        <w:adjustRightInd w:val="0"/>
        <w:snapToGrid w:val="0"/>
        <w:spacing w:line="360" w:lineRule="auto"/>
        <w:ind w:firstLine="478" w:firstLineChars="200"/>
        <w:textAlignment w:val="auto"/>
        <w:rPr>
          <w:rFonts w:hint="eastAsia" w:ascii="宋体" w:hAnsi="宋体" w:eastAsia="宋体" w:cs="宋体"/>
          <w:b/>
          <w:bCs/>
        </w:rPr>
      </w:pPr>
      <w:r>
        <w:rPr>
          <w:rFonts w:hint="eastAsia" w:ascii="宋体" w:hAnsi="宋体" w:eastAsia="宋体" w:cs="宋体"/>
          <w:b/>
          <w:bCs/>
          <w:spacing w:val="-1"/>
          <w:sz w:val="24"/>
          <w:szCs w:val="24"/>
        </w:rPr>
        <w:t>工作过程文件及项目交付成果（包括但不限于</w:t>
      </w:r>
      <w:r>
        <w:rPr>
          <w:rFonts w:hint="eastAsia" w:ascii="宋体" w:hAnsi="宋体" w:eastAsia="宋体" w:cs="宋体"/>
          <w:b/>
          <w:bCs/>
          <w:spacing w:val="8"/>
          <w:sz w:val="24"/>
          <w:szCs w:val="24"/>
        </w:rPr>
        <w:t>）：</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val="en-US" w:eastAsia="zh-CN"/>
        </w:rPr>
        <w:t>应急响应支撑报告</w:t>
      </w:r>
      <w:r>
        <w:rPr>
          <w:rFonts w:hint="eastAsia" w:ascii="宋体" w:hAnsi="宋体" w:eastAsia="宋体" w:cs="宋体"/>
          <w:b/>
          <w:bCs/>
          <w:spacing w:val="-1"/>
          <w:sz w:val="24"/>
          <w:szCs w:val="24"/>
          <w:lang w:eastAsia="zh-CN"/>
        </w:rPr>
        <w:t>》</w:t>
      </w:r>
      <w:r>
        <w:rPr>
          <w:rFonts w:hint="eastAsia" w:ascii="宋体" w:hAnsi="宋体" w:cs="宋体"/>
          <w:b/>
          <w:bCs/>
          <w:spacing w:val="-1"/>
          <w:sz w:val="24"/>
          <w:szCs w:val="24"/>
          <w:lang w:eastAsia="zh-CN"/>
        </w:rPr>
        <w:t>。</w:t>
      </w:r>
    </w:p>
    <w:p>
      <w:pPr>
        <w:pStyle w:val="2"/>
        <w:numPr>
          <w:ilvl w:val="0"/>
          <w:numId w:val="0"/>
        </w:numPr>
        <w:spacing w:line="360" w:lineRule="auto"/>
        <w:ind w:left="0" w:leftChars="0" w:firstLine="0" w:firstLineChars="0"/>
        <w:rPr>
          <w:rStyle w:val="17"/>
          <w:rFonts w:hint="eastAsia" w:ascii="宋体" w:hAnsi="宋体" w:eastAsia="宋体" w:cs="宋体"/>
          <w:b/>
          <w:bCs w:val="0"/>
        </w:rPr>
      </w:pPr>
      <w:r>
        <w:rPr>
          <w:rFonts w:hint="default" w:ascii="宋体" w:hAnsi="宋体" w:eastAsia="宋体" w:cs="宋体"/>
          <w:b/>
          <w:bCs w:val="0"/>
          <w:kern w:val="2"/>
          <w:sz w:val="32"/>
          <w:szCs w:val="32"/>
          <w:lang w:val="en-US" w:eastAsia="zh-CN" w:bidi="ar-SA"/>
        </w:rPr>
        <w:t>2.</w:t>
      </w:r>
      <w:r>
        <w:rPr>
          <w:rStyle w:val="17"/>
          <w:rFonts w:hint="eastAsia" w:ascii="宋体" w:hAnsi="宋体" w:eastAsia="宋体" w:cs="宋体"/>
          <w:b/>
        </w:rPr>
        <w:t>项目实施要求</w:t>
      </w:r>
    </w:p>
    <w:p>
      <w:pPr>
        <w:spacing w:line="360" w:lineRule="auto"/>
        <w:ind w:firstLine="480" w:firstLineChars="200"/>
        <w:rPr>
          <w:rFonts w:hint="eastAsia" w:ascii="宋体" w:hAnsi="宋体" w:eastAsia="宋体" w:cs="宋体"/>
        </w:rPr>
      </w:pPr>
      <w:r>
        <w:rPr>
          <w:rFonts w:hint="eastAsia" w:ascii="宋体" w:hAnsi="宋体" w:eastAsia="宋体" w:cs="宋体"/>
        </w:rPr>
        <w:t>（1）成交供应商必须具备独立完成本项目的能力。</w:t>
      </w:r>
    </w:p>
    <w:p>
      <w:pPr>
        <w:spacing w:line="360" w:lineRule="auto"/>
        <w:ind w:firstLine="480" w:firstLineChars="200"/>
        <w:rPr>
          <w:rFonts w:hint="eastAsia" w:ascii="宋体" w:hAnsi="宋体" w:eastAsia="宋体" w:cs="宋体"/>
        </w:rPr>
      </w:pPr>
      <w:r>
        <w:rPr>
          <w:rFonts w:hint="eastAsia" w:ascii="宋体" w:hAnsi="宋体" w:eastAsia="宋体" w:cs="宋体"/>
        </w:rPr>
        <w:t>（2）成交供应商提供的资格、资质等证明文件应真实有效。</w:t>
      </w:r>
    </w:p>
    <w:p>
      <w:pPr>
        <w:spacing w:line="360" w:lineRule="auto"/>
        <w:ind w:firstLine="480" w:firstLineChars="200"/>
        <w:rPr>
          <w:rFonts w:hint="eastAsia" w:ascii="宋体" w:hAnsi="宋体" w:eastAsia="宋体" w:cs="宋体"/>
        </w:rPr>
      </w:pPr>
      <w:r>
        <w:rPr>
          <w:rFonts w:hint="eastAsia" w:ascii="宋体" w:hAnsi="宋体" w:eastAsia="宋体" w:cs="宋体"/>
        </w:rPr>
        <w:t>（3）成交供应商应对了解到的信息保密，并提供保密承诺。</w:t>
      </w:r>
    </w:p>
    <w:p>
      <w:pPr>
        <w:spacing w:line="360" w:lineRule="auto"/>
        <w:ind w:firstLine="480" w:firstLineChars="200"/>
        <w:rPr>
          <w:rFonts w:hint="eastAsia" w:ascii="宋体" w:hAnsi="宋体" w:eastAsia="宋体" w:cs="宋体"/>
        </w:rPr>
      </w:pPr>
      <w:r>
        <w:rPr>
          <w:rFonts w:hint="eastAsia" w:ascii="宋体" w:hAnsi="宋体" w:eastAsia="宋体" w:cs="宋体"/>
        </w:rPr>
        <w:t>（5）在进行整改过程中提供必要的技术支持。</w:t>
      </w:r>
    </w:p>
    <w:p>
      <w:pPr>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（6）能按照规定的工作内容及进度安排协助完成风险评估服务。</w:t>
      </w:r>
    </w:p>
    <w:p>
      <w:pPr>
        <w:pStyle w:val="3"/>
        <w:numPr>
          <w:ilvl w:val="1"/>
          <w:numId w:val="0"/>
        </w:numPr>
        <w:spacing w:line="360" w:lineRule="auto"/>
        <w:ind w:left="575" w:leftChars="0" w:hanging="575" w:firstLineChars="0"/>
        <w:rPr>
          <w:rStyle w:val="17"/>
          <w:rFonts w:hint="eastAsia" w:ascii="宋体" w:hAnsi="宋体" w:eastAsia="宋体" w:cs="宋体"/>
          <w:b/>
          <w:bCs w:val="0"/>
          <w:color w:val="000000" w:themeColor="text1"/>
          <w:sz w:val="32"/>
          <w:szCs w:val="32"/>
          <w14:textFill>
            <w14:solidFill>
              <w14:schemeClr w14:val="tx1"/>
            </w14:solidFill>
          </w14:textFill>
        </w:rPr>
      </w:pPr>
      <w:r>
        <w:rPr>
          <w:rFonts w:hint="eastAsia" w:cs="宋体"/>
          <w:b/>
          <w:bCs/>
          <w:color w:val="000000" w:themeColor="text1"/>
          <w:kern w:val="0"/>
          <w:sz w:val="32"/>
          <w:szCs w:val="32"/>
          <w:lang w:val="en-US" w:eastAsia="zh-CN" w:bidi="ar-SA"/>
          <w14:textFill>
            <w14:solidFill>
              <w14:schemeClr w14:val="tx1"/>
            </w14:solidFill>
          </w14:textFill>
        </w:rPr>
        <w:t>3.</w:t>
      </w:r>
      <w:r>
        <w:rPr>
          <w:rStyle w:val="17"/>
          <w:rFonts w:hint="eastAsia" w:ascii="宋体" w:hAnsi="宋体" w:eastAsia="宋体" w:cs="宋体"/>
          <w:b/>
          <w:color w:val="000000" w:themeColor="text1"/>
          <w:sz w:val="32"/>
          <w:szCs w:val="32"/>
          <w14:textFill>
            <w14:solidFill>
              <w14:schemeClr w14:val="tx1"/>
            </w14:solidFill>
          </w14:textFill>
        </w:rPr>
        <w:t>项目管理要求</w:t>
      </w:r>
    </w:p>
    <w:p>
      <w:pPr>
        <w:pStyle w:val="11"/>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兼容性</w:t>
      </w:r>
      <w:r>
        <w:rPr>
          <w:rFonts w:hint="eastAsia" w:ascii="宋体" w:hAnsi="宋体" w:eastAsia="宋体" w:cs="宋体"/>
          <w:color w:val="000000" w:themeColor="text1"/>
          <w14:textFill>
            <w14:solidFill>
              <w14:schemeClr w14:val="tx1"/>
            </w14:solidFill>
          </w14:textFill>
        </w:rPr>
        <w:t>要求</w:t>
      </w:r>
    </w:p>
    <w:p>
      <w:pPr>
        <w:pStyle w:val="35"/>
        <w:widowControl/>
        <w:spacing w:line="360" w:lineRule="auto"/>
        <w:ind w:firstLine="480" w:firstLineChars="200"/>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为了保障服务合规验收，要求测评报告所导出文件格式要求兼容国产办公软件，能生成.wps/.et/.dps等文件格式，能与国产办公软件的文字编辑、制作表格、演示文稿软件三个功能模块相互兼容。（</w:t>
      </w:r>
      <w:r>
        <w:rPr>
          <w:rFonts w:hint="eastAsia" w:ascii="宋体" w:hAnsi="宋体" w:eastAsia="宋体" w:cs="宋体"/>
          <w:b w:val="0"/>
          <w:bCs w:val="0"/>
          <w:color w:val="000000" w:themeColor="text1"/>
          <w:sz w:val="24"/>
          <w:lang w:eastAsia="zh-CN"/>
          <w14:textFill>
            <w14:solidFill>
              <w14:schemeClr w14:val="tx1"/>
            </w14:solidFill>
          </w14:textFill>
        </w:rPr>
        <w:t>投标文件中须提供符合上述要求的证书证明原件扫描件并加盖制造商公章证明，否则投标无效。</w:t>
      </w:r>
      <w:r>
        <w:rPr>
          <w:rFonts w:hint="eastAsia" w:ascii="宋体" w:hAnsi="宋体" w:eastAsia="宋体" w:cs="宋体"/>
          <w:color w:val="000000" w:themeColor="text1"/>
          <w:sz w:val="24"/>
          <w:lang w:eastAsia="zh-CN"/>
          <w14:textFill>
            <w14:solidFill>
              <w14:schemeClr w14:val="tx1"/>
            </w14:solidFill>
          </w14:textFill>
        </w:rPr>
        <w:t>）</w:t>
      </w:r>
    </w:p>
    <w:p>
      <w:pPr>
        <w:pStyle w:val="11"/>
        <w:numPr>
          <w:ilvl w:val="0"/>
          <w:numId w:val="6"/>
        </w:numPr>
        <w:spacing w:after="0"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保密</w:t>
      </w:r>
      <w:r>
        <w:rPr>
          <w:rFonts w:hint="eastAsia" w:ascii="宋体" w:hAnsi="宋体" w:eastAsia="宋体" w:cs="宋体"/>
          <w:color w:val="000000" w:themeColor="text1"/>
          <w14:textFill>
            <w14:solidFill>
              <w14:schemeClr w14:val="tx1"/>
            </w14:solidFill>
          </w14:textFill>
        </w:rPr>
        <w:t>要求</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themeColor="text1"/>
          <w14:textFill>
            <w14:solidFill>
              <w14:schemeClr w14:val="tx1"/>
            </w14:solidFill>
          </w14:textFill>
        </w:rPr>
      </w:pPr>
      <w:r>
        <w:rPr>
          <w:rFonts w:ascii="宋体" w:hAnsi="宋体"/>
        </w:rPr>
        <w:t>保密要求须保证对本项目实施中所获得任何资料和信息严格保密，并签订保密责任书。</w:t>
      </w:r>
    </w:p>
    <w:p>
      <w:pPr>
        <w:pStyle w:val="3"/>
        <w:numPr>
          <w:ilvl w:val="1"/>
          <w:numId w:val="0"/>
        </w:numPr>
        <w:spacing w:line="360" w:lineRule="auto"/>
        <w:ind w:left="575" w:leftChars="0" w:hanging="575" w:firstLineChars="0"/>
        <w:rPr>
          <w:rStyle w:val="17"/>
          <w:rFonts w:hint="eastAsia" w:ascii="宋体" w:hAnsi="宋体" w:eastAsia="宋体" w:cs="宋体"/>
          <w:b/>
          <w:bCs w:val="0"/>
        </w:rPr>
      </w:pPr>
      <w:r>
        <w:rPr>
          <w:rStyle w:val="17"/>
          <w:rFonts w:hint="eastAsia" w:ascii="宋体" w:eastAsia="宋体" w:cs="宋体"/>
          <w:b/>
          <w:lang w:val="en-US" w:eastAsia="zh-CN"/>
        </w:rPr>
        <w:t>4.</w:t>
      </w:r>
      <w:r>
        <w:rPr>
          <w:rStyle w:val="17"/>
          <w:rFonts w:hint="eastAsia" w:ascii="宋体" w:hAnsi="宋体" w:eastAsia="宋体" w:cs="宋体"/>
          <w:b/>
          <w:lang w:val="en-US" w:eastAsia="zh-CN"/>
        </w:rPr>
        <w:t>技术</w:t>
      </w:r>
      <w:r>
        <w:rPr>
          <w:rStyle w:val="17"/>
          <w:rFonts w:hint="eastAsia" w:ascii="宋体" w:hAnsi="宋体" w:eastAsia="宋体" w:cs="宋体"/>
          <w:b/>
        </w:rPr>
        <w:t>要求</w:t>
      </w:r>
    </w:p>
    <w:p>
      <w:pPr>
        <w:keepNext w:val="0"/>
        <w:keepLines w:val="0"/>
        <w:pageBreakBefore w:val="0"/>
        <w:widowControl/>
        <w:numPr>
          <w:ilvl w:val="0"/>
          <w:numId w:val="0"/>
        </w:numPr>
        <w:kinsoku w:val="0"/>
        <w:wordWrap/>
        <w:overflowPunct/>
        <w:topLinePunct w:val="0"/>
        <w:autoSpaceDE w:val="0"/>
        <w:autoSpaceDN w:val="0"/>
        <w:bidi w:val="0"/>
        <w:adjustRightInd w:val="0"/>
        <w:spacing w:before="0" w:after="0" w:line="360" w:lineRule="auto"/>
        <w:ind w:leftChars="0" w:right="377" w:rightChars="157" w:firstLine="480" w:firstLineChars="200"/>
        <w:textAlignment w:val="baseline"/>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（1）服务人员要求</w:t>
      </w:r>
    </w:p>
    <w:p>
      <w:pPr>
        <w:pStyle w:val="43"/>
        <w:keepNext w:val="0"/>
        <w:keepLines w:val="0"/>
        <w:pageBreakBefore w:val="0"/>
        <w:wordWrap/>
        <w:overflowPunct/>
        <w:topLinePunct w:val="0"/>
        <w:bidi w:val="0"/>
        <w:spacing w:line="360" w:lineRule="auto"/>
        <w:ind w:left="0" w:leftChars="0"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要求投标人拟派一名项目经理，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为了保障等保2.0 GB/T 22239-2019数据安全完整性和保密性要求，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要求该项目经理具备</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中国信息安全测评中心颁发的注册数据安全治理（CISP-DSG）专业人员证书</w:t>
      </w:r>
      <w:r>
        <w:rPr>
          <w:rFonts w:hint="eastAsia" w:ascii="宋体" w:hAnsi="宋体" w:cs="宋体"/>
          <w:sz w:val="24"/>
          <w:szCs w:val="24"/>
          <w:lang w:val="en-US" w:eastAsia="zh-CN"/>
        </w:rPr>
        <w:t>、全国计算机信息高新技术网络工程师考试合格（国家职业资格三级）证书（能够指导等保测评过程中对于物理环境、通信网络、安全边界、计算环境等方面出现的问题）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服务供应商须在服务响应文件中出具符合上述要求的服务承诺函并加盖公章，未提供则视为无效响应。</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）（说明：签订合同前拟中标服务供应商须提供</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上述证书扫描件及开标前三个月投标人为其缴纳的社保证明材料加盖公章，未提供或提供不符合要求视为虚假应标取消中标资格。</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pPr>
        <w:keepNext w:val="0"/>
        <w:keepLines w:val="0"/>
        <w:pageBreakBefore w:val="0"/>
        <w:widowControl/>
        <w:numPr>
          <w:ilvl w:val="0"/>
          <w:numId w:val="0"/>
        </w:numPr>
        <w:kinsoku w:val="0"/>
        <w:wordWrap/>
        <w:overflowPunct/>
        <w:topLinePunct w:val="0"/>
        <w:autoSpaceDE w:val="0"/>
        <w:autoSpaceDN w:val="0"/>
        <w:bidi w:val="0"/>
        <w:adjustRightInd w:val="0"/>
        <w:spacing w:before="0" w:after="0" w:line="360" w:lineRule="auto"/>
        <w:ind w:leftChars="0" w:right="377" w:rightChars="157" w:firstLine="480" w:firstLineChars="200"/>
        <w:textAlignment w:val="baseline"/>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eastAsia="zh-CN"/>
          <w14:textFill>
            <w14:solidFill>
              <w14:schemeClr w14:val="tx1"/>
            </w14:solidFill>
          </w14:textFill>
        </w:rPr>
        <w:t>服务工具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24"/>
          <w:szCs w:val="24"/>
        </w:rPr>
      </w:pPr>
      <w:r>
        <w:rPr>
          <w:rFonts w:hint="eastAsia" w:ascii="宋体" w:hAnsi="宋体" w:eastAsia="宋体" w:cs="宋体"/>
          <w:sz w:val="24"/>
          <w:szCs w:val="24"/>
        </w:rPr>
        <w:t>根据《GB/T22239-2019》网络安全等级保护通用要求，支持从物理环境、网络通信、安全边界等层面进行资产收集</w:t>
      </w:r>
      <w:r>
        <w:rPr>
          <w:rFonts w:hint="eastAsia" w:ascii="宋体" w:hAnsi="宋体" w:cs="宋体"/>
          <w:sz w:val="24"/>
          <w:szCs w:val="24"/>
          <w:lang w:val="en-US" w:eastAsia="zh-CN"/>
        </w:rPr>
        <w:t>和</w:t>
      </w:r>
      <w:r>
        <w:rPr>
          <w:rFonts w:hint="eastAsia" w:ascii="宋体" w:hAnsi="宋体" w:eastAsia="宋体" w:cs="宋体"/>
          <w:sz w:val="24"/>
          <w:szCs w:val="24"/>
        </w:rPr>
        <w:t>梳理；同时能够对于近期需测评的等保系统与相应设备的维保状态进行告警提示。</w:t>
      </w:r>
      <w:r>
        <w:rPr>
          <w:rFonts w:hint="eastAsia" w:ascii="宋体" w:hAnsi="宋体" w:eastAsia="宋体" w:cs="宋体"/>
          <w:b w:val="0"/>
          <w:bCs w:val="0"/>
          <w:sz w:val="24"/>
          <w:szCs w:val="24"/>
          <w:lang w:eastAsia="zh-CN"/>
        </w:rPr>
        <w:t>（</w:t>
      </w:r>
      <w:r>
        <w:rPr>
          <w:rFonts w:hint="eastAsia" w:ascii="宋体" w:hAnsi="宋体" w:eastAsia="宋体" w:cs="宋体"/>
          <w:b/>
          <w:bCs/>
          <w:sz w:val="24"/>
          <w:szCs w:val="24"/>
        </w:rPr>
        <w:t>供应商须提供具有CMA及CNAS标识的第三方检测机构出具的以上功能检测报告原件扫描件</w:t>
      </w:r>
      <w:r>
        <w:rPr>
          <w:rFonts w:hint="eastAsia" w:ascii="宋体" w:hAnsi="宋体" w:cs="宋体"/>
          <w:b/>
          <w:bCs/>
          <w:sz w:val="24"/>
          <w:szCs w:val="24"/>
          <w:lang w:val="en-US" w:eastAsia="zh-CN"/>
        </w:rPr>
        <w:t>及授权函</w:t>
      </w:r>
      <w:r>
        <w:rPr>
          <w:rFonts w:hint="eastAsia" w:ascii="宋体" w:hAnsi="宋体" w:eastAsia="宋体" w:cs="宋体"/>
          <w:b/>
          <w:bCs/>
          <w:sz w:val="24"/>
          <w:szCs w:val="24"/>
        </w:rPr>
        <w:t>加盖</w:t>
      </w:r>
      <w:r>
        <w:rPr>
          <w:rFonts w:hint="eastAsia" w:ascii="宋体" w:hAnsi="宋体" w:cs="宋体"/>
          <w:b/>
          <w:bCs/>
          <w:sz w:val="24"/>
          <w:szCs w:val="24"/>
          <w:lang w:val="en-US" w:eastAsia="zh-CN"/>
        </w:rPr>
        <w:t>制造商</w:t>
      </w:r>
      <w:r>
        <w:rPr>
          <w:rFonts w:hint="eastAsia" w:ascii="宋体" w:hAnsi="宋体" w:eastAsia="宋体" w:cs="宋体"/>
          <w:b/>
          <w:bCs/>
          <w:sz w:val="24"/>
          <w:szCs w:val="24"/>
        </w:rPr>
        <w:t>公章，未提供或提供不符合要求视为无效响应。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（需通过醒目标识标记出对应功能点在报告中的检测情况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p>
    <w:p>
      <w:pPr>
        <w:keepNext w:val="0"/>
        <w:keepLines w:val="0"/>
        <w:pageBreakBefore w:val="0"/>
        <w:wordWrap/>
        <w:overflowPunct/>
        <w:topLinePunct w:val="0"/>
        <w:bidi w:val="0"/>
        <w:spacing w:line="360" w:lineRule="auto"/>
        <w:rPr>
          <w:rFonts w:hint="eastAsia" w:ascii="宋体" w:eastAsia="宋体" w:cs="宋体"/>
          <w:b/>
          <w:bCs w:val="0"/>
          <w:color w:val="000000" w:themeColor="text1"/>
          <w:kern w:val="2"/>
          <w:sz w:val="32"/>
          <w:szCs w:val="32"/>
          <w:lang w:val="en-US" w:eastAsia="zh-CN" w:bidi="ar-SA"/>
          <w14:textFill>
            <w14:solidFill>
              <w14:schemeClr w14:val="tx1"/>
            </w14:solidFill>
          </w14:textFill>
        </w:rPr>
      </w:pPr>
    </w:p>
    <w:p>
      <w:pPr>
        <w:keepNext w:val="0"/>
        <w:keepLines w:val="0"/>
        <w:pageBreakBefore w:val="0"/>
        <w:wordWrap/>
        <w:overflowPunct/>
        <w:topLinePunct w:val="0"/>
        <w:bidi w:val="0"/>
        <w:spacing w:line="360" w:lineRule="auto"/>
        <w:rPr>
          <w:rStyle w:val="17"/>
          <w:rFonts w:hint="eastAsia" w:ascii="宋体" w:hAnsi="宋体" w:eastAsia="宋体" w:cs="宋体"/>
          <w:b/>
          <w:bCs w:val="0"/>
          <w:color w:val="000000" w:themeColor="text1"/>
          <w:lang w:eastAsia="zh-CN"/>
          <w14:textFill>
            <w14:solidFill>
              <w14:schemeClr w14:val="tx1"/>
            </w14:solidFill>
          </w14:textFill>
        </w:rPr>
      </w:pPr>
      <w:bookmarkStart w:id="12" w:name="_GoBack"/>
      <w:bookmarkEnd w:id="12"/>
      <w:r>
        <w:rPr>
          <w:rFonts w:hint="eastAsia" w:ascii="宋体" w:eastAsia="宋体" w:cs="宋体"/>
          <w:b/>
          <w:bCs w:val="0"/>
          <w:color w:val="000000" w:themeColor="text1"/>
          <w:kern w:val="2"/>
          <w:sz w:val="32"/>
          <w:szCs w:val="32"/>
          <w:lang w:val="en-US" w:eastAsia="zh-CN" w:bidi="ar-SA"/>
          <w14:textFill>
            <w14:solidFill>
              <w14:schemeClr w14:val="tx1"/>
            </w14:solidFill>
          </w14:textFill>
        </w:rPr>
        <w:t>5</w:t>
      </w:r>
      <w:r>
        <w:rPr>
          <w:rFonts w:hint="default" w:ascii="宋体" w:hAnsi="宋体" w:eastAsia="宋体" w:cs="宋体"/>
          <w:b/>
          <w:bCs w:val="0"/>
          <w:color w:val="000000" w:themeColor="text1"/>
          <w:kern w:val="2"/>
          <w:sz w:val="32"/>
          <w:szCs w:val="32"/>
          <w:lang w:val="en-US" w:eastAsia="zh-CN" w:bidi="ar-SA"/>
          <w14:textFill>
            <w14:solidFill>
              <w14:schemeClr w14:val="tx1"/>
            </w14:solidFill>
          </w14:textFill>
        </w:rPr>
        <w:t>.</w:t>
      </w:r>
      <w:bookmarkEnd w:id="11"/>
      <w:r>
        <w:rPr>
          <w:rStyle w:val="17"/>
          <w:rFonts w:hint="eastAsia" w:ascii="宋体" w:eastAsia="宋体" w:cs="宋体"/>
          <w:b/>
          <w:color w:val="000000" w:themeColor="text1"/>
          <w:lang w:eastAsia="zh-CN"/>
          <w14:textFill>
            <w14:solidFill>
              <w14:schemeClr w14:val="tx1"/>
            </w14:solidFill>
          </w14:textFill>
        </w:rPr>
        <w:t>其他要求</w:t>
      </w:r>
    </w:p>
    <w:p>
      <w:pPr>
        <w:numPr>
          <w:ilvl w:val="0"/>
          <w:numId w:val="7"/>
        </w:numPr>
        <w:spacing w:line="360" w:lineRule="auto"/>
        <w:ind w:lef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交货地点：</w:t>
      </w:r>
      <w:r>
        <w:rPr>
          <w:rFonts w:hint="eastAsia" w:ascii="宋体" w:hAnsi="宋体" w:cs="宋体"/>
          <w:color w:val="000000" w:themeColor="text1"/>
          <w:lang w:val="en-US" w:eastAsia="zh-CN"/>
          <w14:textFill>
            <w14:solidFill>
              <w14:schemeClr w14:val="tx1"/>
            </w14:solidFill>
          </w14:textFill>
        </w:rPr>
        <w:t>医院</w:t>
      </w:r>
      <w:r>
        <w:rPr>
          <w:rFonts w:hint="eastAsia" w:ascii="宋体" w:hAnsi="宋体" w:eastAsia="宋体" w:cs="宋体"/>
          <w:color w:val="000000" w:themeColor="text1"/>
          <w14:textFill>
            <w14:solidFill>
              <w14:schemeClr w14:val="tx1"/>
            </w14:solidFill>
          </w14:textFill>
        </w:rPr>
        <w:t>指定地点。</w:t>
      </w:r>
    </w:p>
    <w:p>
      <w:pPr>
        <w:numPr>
          <w:ilvl w:val="0"/>
          <w:numId w:val="7"/>
        </w:numPr>
        <w:adjustRightInd/>
        <w:snapToGrid/>
        <w:spacing w:line="360" w:lineRule="auto"/>
        <w:rPr>
          <w:rFonts w:hint="eastAsia" w:ascii="宋体" w:hAnsi="宋体" w:eastAsia="宋体" w:cs="宋体"/>
          <w:color w:val="000000" w:themeColor="text1"/>
          <w:highlight w:val="white"/>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交付期：</w:t>
      </w:r>
      <w:r>
        <w:rPr>
          <w:rFonts w:hint="eastAsia" w:ascii="宋体" w:hAnsi="宋体" w:eastAsia="宋体" w:cs="宋体"/>
          <w:color w:val="000000" w:themeColor="text1"/>
          <w14:textFill>
            <w14:solidFill>
              <w14:schemeClr w14:val="tx1"/>
            </w14:solidFill>
          </w14:textFill>
        </w:rPr>
        <w:t>合同签订后</w:t>
      </w:r>
      <w:r>
        <w:rPr>
          <w:rFonts w:hint="eastAsia" w:ascii="宋体" w:hAnsi="宋体" w:cs="宋体"/>
          <w:sz w:val="24"/>
          <w:szCs w:val="24"/>
          <w:lang w:val="en-US" w:eastAsia="zh-CN"/>
        </w:rPr>
        <w:t>30天内交付</w:t>
      </w:r>
      <w:r>
        <w:rPr>
          <w:rFonts w:hint="eastAsia" w:ascii="宋体" w:hAnsi="宋体" w:cs="宋体"/>
          <w:color w:val="000000" w:themeColor="text1"/>
          <w:lang w:eastAsia="zh-CN"/>
          <w14:textFill>
            <w14:solidFill>
              <w14:schemeClr w14:val="tx1"/>
            </w14:solidFill>
          </w14:textFill>
        </w:rPr>
        <w:t>等保测评服务中</w:t>
      </w:r>
      <w:r>
        <w:rPr>
          <w:rFonts w:hint="eastAsia" w:ascii="宋体" w:hAnsi="宋体" w:eastAsia="宋体" w:cs="宋体"/>
          <w:sz w:val="24"/>
          <w:szCs w:val="24"/>
        </w:rPr>
        <w:t>《备案</w:t>
      </w:r>
      <w:r>
        <w:rPr>
          <w:rFonts w:hint="eastAsia" w:ascii="宋体" w:hAnsi="宋体" w:cs="宋体"/>
          <w:sz w:val="24"/>
          <w:szCs w:val="24"/>
          <w:lang w:eastAsia="zh-CN"/>
        </w:rPr>
        <w:t>证明</w:t>
      </w:r>
      <w:r>
        <w:rPr>
          <w:rFonts w:hint="eastAsia" w:ascii="宋体" w:hAnsi="宋体" w:eastAsia="宋体" w:cs="宋体"/>
          <w:sz w:val="24"/>
          <w:szCs w:val="24"/>
        </w:rPr>
        <w:t>》</w:t>
      </w:r>
      <w:r>
        <w:rPr>
          <w:rFonts w:hint="eastAsia" w:ascii="宋体" w:hAnsi="宋体" w:cs="宋体"/>
          <w:sz w:val="24"/>
          <w:szCs w:val="24"/>
          <w:lang w:val="en-US" w:eastAsia="zh-CN"/>
        </w:rPr>
        <w:t>、</w:t>
      </w:r>
      <w:r>
        <w:rPr>
          <w:rFonts w:hint="eastAsia" w:ascii="宋体" w:hAnsi="宋体" w:cs="宋体"/>
          <w:color w:val="000000" w:themeColor="text1"/>
          <w:lang w:val="en-US" w:eastAsia="zh-CN"/>
          <w14:textFill>
            <w14:solidFill>
              <w14:schemeClr w14:val="tx1"/>
            </w14:solidFill>
          </w14:textFill>
        </w:rPr>
        <w:t>90</w:t>
      </w:r>
      <w:r>
        <w:rPr>
          <w:rFonts w:hint="eastAsia" w:ascii="宋体" w:hAnsi="宋体" w:eastAsia="宋体" w:cs="宋体"/>
          <w:color w:val="000000" w:themeColor="text1"/>
          <w14:textFill>
            <w14:solidFill>
              <w14:schemeClr w14:val="tx1"/>
            </w14:solidFill>
          </w14:textFill>
        </w:rPr>
        <w:t>天内</w:t>
      </w:r>
      <w:r>
        <w:rPr>
          <w:rFonts w:hint="eastAsia" w:ascii="宋体" w:hAnsi="宋体" w:cs="宋体"/>
          <w:sz w:val="24"/>
          <w:szCs w:val="24"/>
          <w:lang w:val="en-US" w:eastAsia="zh-CN"/>
        </w:rPr>
        <w:t>交付</w:t>
      </w:r>
      <w:r>
        <w:rPr>
          <w:rFonts w:hint="eastAsia" w:ascii="宋体" w:hAnsi="宋体" w:eastAsia="宋体" w:cs="宋体"/>
          <w:color w:val="000000" w:themeColor="text1"/>
          <w:shd w:val="clear" w:color="auto" w:fill="FFFFFF"/>
          <w14:textFill>
            <w14:solidFill>
              <w14:schemeClr w14:val="tx1"/>
            </w14:solidFill>
          </w14:textFill>
        </w:rPr>
        <w:t>《等保测评报告》</w:t>
      </w:r>
      <w:r>
        <w:rPr>
          <w:rFonts w:hint="eastAsia" w:ascii="宋体" w:hAnsi="宋体" w:eastAsia="宋体" w:cs="宋体"/>
          <w:color w:val="000000" w:themeColor="text1"/>
          <w14:textFill>
            <w14:solidFill>
              <w14:schemeClr w14:val="tx1"/>
            </w14:solidFill>
          </w14:textFill>
        </w:rPr>
        <w:t>。</w:t>
      </w:r>
    </w:p>
    <w:p>
      <w:pPr>
        <w:numPr>
          <w:ilvl w:val="0"/>
          <w:numId w:val="7"/>
        </w:numPr>
        <w:spacing w:line="360" w:lineRule="auto"/>
        <w:ind w:left="0" w:firstLine="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交付成果和服务要求：</w:t>
      </w:r>
    </w:p>
    <w:p>
      <w:pPr>
        <w:pStyle w:val="35"/>
        <w:widowControl/>
        <w:spacing w:line="360" w:lineRule="auto"/>
        <w:ind w:firstLine="480" w:firstLineChars="200"/>
        <w:jc w:val="both"/>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按要求的时间节点，出具技术要求的信息系统《等保测评报告》等相关文档资料。</w:t>
      </w:r>
    </w:p>
    <w:p>
      <w:pPr>
        <w:pStyle w:val="35"/>
        <w:widowControl/>
        <w:spacing w:line="360" w:lineRule="auto"/>
        <w:ind w:firstLine="480" w:firstLineChars="200"/>
        <w:jc w:val="both"/>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shd w:val="clear" w:color="auto" w:fill="FFFFFF"/>
          <w14:textFill>
            <w14:solidFill>
              <w14:schemeClr w14:val="tx1"/>
            </w14:solidFill>
          </w14:textFill>
        </w:rPr>
        <w:t>在评估过程中、评估后提出整改意见和整改措施，配合好系统优化改进、测评等工作。</w:t>
      </w:r>
    </w:p>
    <w:p>
      <w:pPr>
        <w:numPr>
          <w:ilvl w:val="0"/>
          <w:numId w:val="7"/>
        </w:numPr>
        <w:spacing w:line="360" w:lineRule="auto"/>
        <w:ind w:left="0" w:firstLine="0"/>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付款方式：</w:t>
      </w:r>
    </w:p>
    <w:p>
      <w:pPr>
        <w:pStyle w:val="35"/>
        <w:widowControl/>
        <w:spacing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eastAsia="zh-CN"/>
        </w:rPr>
        <w:t>阶段性付款，</w:t>
      </w:r>
      <w:r>
        <w:rPr>
          <w:rFonts w:hint="eastAsia" w:ascii="宋体" w:hAnsi="宋体" w:cs="宋体"/>
          <w:color w:val="auto"/>
          <w:sz w:val="24"/>
        </w:rPr>
        <w:t>具体付款方式成交后采购人与成交供应商双方协商。</w:t>
      </w:r>
    </w:p>
    <w:sectPr>
      <w:footerReference r:id="rId5" w:type="default"/>
      <w:pgSz w:w="11906" w:h="16838"/>
      <w:pgMar w:top="1440" w:right="1800" w:bottom="1440" w:left="180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346EB"/>
    <w:multiLevelType w:val="singleLevel"/>
    <w:tmpl w:val="F2F346EB"/>
    <w:lvl w:ilvl="0" w:tentative="0">
      <w:start w:val="1"/>
      <w:numFmt w:val="decimal"/>
      <w:suff w:val="nothing"/>
      <w:lvlText w:val="%1）"/>
      <w:lvlJc w:val="left"/>
    </w:lvl>
  </w:abstractNum>
  <w:abstractNum w:abstractNumId="1">
    <w:nsid w:val="080FA34A"/>
    <w:multiLevelType w:val="singleLevel"/>
    <w:tmpl w:val="080FA34A"/>
    <w:lvl w:ilvl="0" w:tentative="0">
      <w:start w:val="1"/>
      <w:numFmt w:val="decimal"/>
      <w:suff w:val="nothing"/>
      <w:lvlText w:val="（%1）"/>
      <w:lvlJc w:val="left"/>
    </w:lvl>
  </w:abstractNum>
  <w:abstractNum w:abstractNumId="2">
    <w:nsid w:val="22235693"/>
    <w:multiLevelType w:val="multilevel"/>
    <w:tmpl w:val="22235693"/>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D81021"/>
    <w:multiLevelType w:val="multilevel"/>
    <w:tmpl w:val="28D81021"/>
    <w:lvl w:ilvl="0" w:tentative="0">
      <w:start w:val="1"/>
      <w:numFmt w:val="chineseCountingThousand"/>
      <w:pStyle w:val="25"/>
      <w:lvlText w:val="%1."/>
      <w:lvlJc w:val="left"/>
      <w:pPr>
        <w:ind w:left="425" w:hanging="425"/>
      </w:pPr>
      <w:rPr>
        <w:rFonts w:hint="default"/>
      </w:rPr>
    </w:lvl>
    <w:lvl w:ilvl="1" w:tentative="0">
      <w:start w:val="1"/>
      <w:numFmt w:val="decimal"/>
      <w:isLgl/>
      <w:lvlText w:val="%1.%2."/>
      <w:lvlJc w:val="left"/>
      <w:pPr>
        <w:ind w:left="567" w:hanging="567"/>
      </w:pPr>
      <w:rPr>
        <w:rFonts w:hint="eastAsia" w:ascii="幼圆" w:hAnsi="微软雅黑" w:eastAsia="幼圆"/>
        <w:b/>
        <w:bCs/>
      </w:rPr>
    </w:lvl>
    <w:lvl w:ilvl="2" w:tentative="0">
      <w:start w:val="1"/>
      <w:numFmt w:val="decimal"/>
      <w:isLgl/>
      <w:lvlText w:val="%1.%2.%3."/>
      <w:lvlJc w:val="left"/>
      <w:pPr>
        <w:ind w:left="709" w:hanging="709"/>
      </w:pPr>
      <w:rPr>
        <w:rFonts w:hint="eastAsia" w:ascii="幼圆" w:hAnsi="微软雅黑" w:eastAsia="幼圆"/>
      </w:rPr>
    </w:lvl>
    <w:lvl w:ilvl="3" w:tentative="0">
      <w:start w:val="1"/>
      <w:numFmt w:val="decimal"/>
      <w:isLgl/>
      <w:lvlText w:val="%1.%2.%3.%4."/>
      <w:lvlJc w:val="left"/>
      <w:pPr>
        <w:ind w:left="851" w:hanging="851"/>
      </w:pPr>
      <w:rPr>
        <w:rFonts w:hint="eastAsia"/>
        <w:b w:val="0"/>
        <w:bCs w:val="0"/>
      </w:rPr>
    </w:lvl>
    <w:lvl w:ilvl="4" w:tentative="0">
      <w:start w:val="1"/>
      <w:numFmt w:val="decimal"/>
      <w:isLgl/>
      <w:lvlText w:val="%1.%2.%3.%4.%5."/>
      <w:lvlJc w:val="left"/>
      <w:pPr>
        <w:ind w:left="992" w:hanging="992"/>
      </w:pPr>
      <w:rPr>
        <w:rFonts w:hint="eastAsia" w:ascii="微软雅黑" w:hAnsi="微软雅黑" w:eastAsia="微软雅黑"/>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4">
    <w:nsid w:val="329662E0"/>
    <w:multiLevelType w:val="multilevel"/>
    <w:tmpl w:val="329662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3423A3"/>
    <w:multiLevelType w:val="multilevel"/>
    <w:tmpl w:val="503423A3"/>
    <w:lvl w:ilvl="0" w:tentative="0">
      <w:start w:val="1"/>
      <w:numFmt w:val="chineseCountingThousand"/>
      <w:suff w:val="space"/>
      <w:lvlText w:val="第 %1 章"/>
      <w:lvlJc w:val="left"/>
      <w:pPr>
        <w:ind w:left="0" w:firstLine="0"/>
      </w:pPr>
      <w:rPr>
        <w:rFonts w:hint="eastAsia" w:ascii="微软雅黑" w:hAnsi="微软雅黑" w:eastAsia="微软雅黑" w:cs="Times New Roman"/>
        <w:b w:val="0"/>
        <w:bCs w:val="0"/>
        <w:i w:val="0"/>
        <w:iCs w:val="0"/>
        <w:caps w:val="0"/>
        <w:smallCaps w:val="0"/>
        <w:outline w:val="0"/>
        <w:emboss w:val="0"/>
        <w:imprint w:val="0"/>
        <w:spacing w:val="0"/>
        <w:kern w:val="0"/>
        <w:position w:val="0"/>
        <w:sz w:val="36"/>
        <w:szCs w:val="32"/>
        <w:u w:val="none"/>
        <w:vertAlign w:val="baseline"/>
        <w14:shadow w14:blurRad="0" w14:dist="0" w14:dir="0" w14:sx="100000" w14:sy="100000" w14:kx="0" w14:ky="0" w14:algn="none">
          <w14:srgbClr w14:val="808080"/>
        </w14:shadow>
      </w:rPr>
    </w:lvl>
    <w:lvl w:ilvl="1" w:tentative="0">
      <w:start w:val="1"/>
      <w:numFmt w:val="decimal"/>
      <w:isLgl/>
      <w:suff w:val="space"/>
      <w:lvlText w:val="%1.%2"/>
      <w:lvlJc w:val="left"/>
      <w:pPr>
        <w:ind w:left="0" w:firstLine="0"/>
      </w:pPr>
      <w:rPr>
        <w:rFonts w:hint="eastAsia" w:ascii="微软雅黑" w:hAnsi="微软雅黑" w:eastAsia="微软雅黑" w:cs="Times New Roman"/>
        <w:b w:val="0"/>
        <w:bCs w:val="0"/>
        <w:i w:val="0"/>
        <w:iCs w:val="0"/>
        <w:caps w:val="0"/>
        <w:smallCaps w:val="0"/>
        <w:outline w:val="0"/>
        <w:emboss w:val="0"/>
        <w:imprint w:val="0"/>
        <w:color w:val="auto"/>
        <w:spacing w:val="0"/>
        <w:w w:val="100"/>
        <w:kern w:val="2"/>
        <w:position w:val="0"/>
        <w:sz w:val="32"/>
        <w:u w:val="none"/>
        <w:shd w:val="clear" w:color="auto" w:fill="auto"/>
        <w:vertAlign w:val="baseline"/>
        <w:lang w:val="en-US"/>
        <w14:shadow w14:blurRad="0" w14:dist="0" w14:dir="0" w14:sx="100000" w14:sy="100000" w14:kx="0" w14:ky="0" w14:algn="none">
          <w14:srgbClr w14:val="808080"/>
        </w14:shadow>
      </w:rPr>
    </w:lvl>
    <w:lvl w:ilvl="2" w:tentative="0">
      <w:start w:val="1"/>
      <w:numFmt w:val="decimal"/>
      <w:isLgl/>
      <w:suff w:val="space"/>
      <w:lvlText w:val="%1.%2.%3"/>
      <w:lvlJc w:val="left"/>
      <w:pPr>
        <w:ind w:left="0" w:firstLine="0"/>
      </w:pPr>
      <w:rPr>
        <w:rFonts w:hint="eastAsia" w:ascii="微软雅黑" w:hAnsi="微软雅黑" w:eastAsia="微软雅黑" w:cs="Times New Roman"/>
        <w:b w:val="0"/>
        <w:bCs w:val="0"/>
        <w:i w:val="0"/>
        <w:iCs w:val="0"/>
        <w:caps w:val="0"/>
        <w:smallCaps w:val="0"/>
        <w:outline w:val="0"/>
        <w:emboss w:val="0"/>
        <w:imprint w:val="0"/>
        <w:spacing w:val="0"/>
        <w:kern w:val="0"/>
        <w:position w:val="0"/>
        <w:sz w:val="32"/>
        <w:u w:val="none"/>
        <w:vertAlign w:val="baseline"/>
        <w14:shadow w14:blurRad="0" w14:dist="0" w14:dir="0" w14:sx="100000" w14:sy="100000" w14:kx="0" w14:ky="0" w14:algn="none">
          <w14:srgbClr w14:val="808080"/>
        </w14:shadow>
      </w:rPr>
    </w:lvl>
    <w:lvl w:ilvl="3" w:tentative="0">
      <w:start w:val="1"/>
      <w:numFmt w:val="decimal"/>
      <w:pStyle w:val="30"/>
      <w:isLgl/>
      <w:suff w:val="space"/>
      <w:lvlText w:val="%1.%2.%3.%4"/>
      <w:lvlJc w:val="left"/>
      <w:pPr>
        <w:ind w:left="0" w:firstLine="0"/>
      </w:pPr>
      <w:rPr>
        <w:rFonts w:hint="eastAsia" w:ascii="微软雅黑" w:hAnsi="宋体" w:eastAsia="微软雅黑"/>
        <w:b w:val="0"/>
        <w:i w:val="0"/>
        <w:sz w:val="28"/>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6" w:tentative="0">
      <w:start w:val="1"/>
      <w:numFmt w:val="decimal"/>
      <w:isLgl/>
      <w:suff w:val="space"/>
      <w:lvlText w:val="%1.%2.%3.%4.%5.%6.%7"/>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7" w:tentative="0">
      <w:start w:val="1"/>
      <w:numFmt w:val="decimal"/>
      <w:isLgl/>
      <w:suff w:val="space"/>
      <w:lvlText w:val="%1.%2.%3.%4.%5.%6.%7.%8"/>
      <w:lvlJc w:val="left"/>
      <w:pPr>
        <w:ind w:left="0" w:firstLine="0"/>
      </w:pPr>
      <w:rPr>
        <w:rFonts w:hint="eastAsia" w:cs="Times New Roman"/>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lvl w:ilvl="8" w:tentative="0">
      <w:start w:val="1"/>
      <w:numFmt w:val="decimal"/>
      <w:isLgl/>
      <w:suff w:val="space"/>
      <w:lvlText w:val="%1.%2.%3.%4.%5.%6.%7.%8.%9"/>
      <w:lvlJc w:val="left"/>
      <w:pPr>
        <w:ind w:left="0" w:firstLine="0"/>
      </w:pPr>
      <w:rPr>
        <w:rFonts w:hint="eastAsia"/>
        <w:b w:val="0"/>
        <w:bCs w:val="0"/>
        <w:i w:val="0"/>
        <w:iCs w:val="0"/>
        <w:caps w:val="0"/>
        <w:smallCaps w:val="0"/>
        <w:outline w:val="0"/>
        <w:emboss w:val="0"/>
        <w:imprint w:val="0"/>
        <w:spacing w:val="0"/>
        <w:position w:val="0"/>
        <w:u w:val="none"/>
        <w:vertAlign w:val="baseline"/>
        <w14:shadow w14:blurRad="0" w14:dist="0" w14:dir="0" w14:sx="100000" w14:sy="100000" w14:kx="0" w14:ky="0" w14:algn="none">
          <w14:srgbClr w14:val="808080"/>
        </w14:shadow>
      </w:rPr>
    </w:lvl>
  </w:abstractNum>
  <w:abstractNum w:abstractNumId="6">
    <w:nsid w:val="67DE1CFE"/>
    <w:multiLevelType w:val="multilevel"/>
    <w:tmpl w:val="67DE1CFE"/>
    <w:lvl w:ilvl="0" w:tentative="0">
      <w:start w:val="1"/>
      <w:numFmt w:val="decimal"/>
      <w:pStyle w:val="2"/>
      <w:suff w:val="space"/>
      <w:lvlText w:val="%1."/>
      <w:lvlJc w:val="left"/>
      <w:pPr>
        <w:ind w:left="5262" w:hanging="432"/>
      </w:pPr>
      <w:rPr>
        <w:rFonts w:hint="default"/>
        <w:b/>
        <w:bCs w:val="0"/>
      </w:rPr>
    </w:lvl>
    <w:lvl w:ilvl="1" w:tentative="0">
      <w:start w:val="1"/>
      <w:numFmt w:val="decimal"/>
      <w:pStyle w:val="3"/>
      <w:suff w:val="space"/>
      <w:lvlText w:val="%1.%2."/>
      <w:lvlJc w:val="left"/>
      <w:pPr>
        <w:ind w:left="575" w:hanging="575"/>
      </w:pPr>
      <w:rPr>
        <w:rFonts w:hint="eastAsia" w:ascii="幼圆" w:eastAsia="幼圆"/>
        <w:b/>
        <w:bCs/>
      </w:rPr>
    </w:lvl>
    <w:lvl w:ilvl="2" w:tentative="0">
      <w:start w:val="1"/>
      <w:numFmt w:val="decimal"/>
      <w:pStyle w:val="5"/>
      <w:suff w:val="space"/>
      <w:lvlText w:val="%1.%2.%3."/>
      <w:lvlJc w:val="left"/>
      <w:pPr>
        <w:ind w:left="720" w:hanging="720"/>
      </w:pPr>
      <w:rPr>
        <w:rFonts w:hint="eastAsia" w:ascii="幼圆" w:eastAsia="幼圆"/>
      </w:rPr>
    </w:lvl>
    <w:lvl w:ilvl="3" w:tentative="0">
      <w:start w:val="1"/>
      <w:numFmt w:val="decimal"/>
      <w:pStyle w:val="6"/>
      <w:suff w:val="space"/>
      <w:lvlText w:val="%1.%2.%3.%4."/>
      <w:lvlJc w:val="left"/>
      <w:pPr>
        <w:ind w:left="864" w:hanging="864"/>
      </w:pPr>
      <w:rPr>
        <w:rFonts w:hint="default"/>
      </w:rPr>
    </w:lvl>
    <w:lvl w:ilvl="4" w:tentative="0">
      <w:start w:val="1"/>
      <w:numFmt w:val="decimal"/>
      <w:pStyle w:val="7"/>
      <w:suff w:val="space"/>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ZDgwOTI3ODBmZTRkZDdlODdiYzQzMjY0ZjkxNzgifQ=="/>
  </w:docVars>
  <w:rsids>
    <w:rsidRoot w:val="00000000"/>
    <w:rsid w:val="00B91918"/>
    <w:rsid w:val="012D0479"/>
    <w:rsid w:val="03814DA7"/>
    <w:rsid w:val="046E1DE3"/>
    <w:rsid w:val="06893E96"/>
    <w:rsid w:val="072676B6"/>
    <w:rsid w:val="07FD16AA"/>
    <w:rsid w:val="0B872902"/>
    <w:rsid w:val="0CA768A8"/>
    <w:rsid w:val="0DFA2C9C"/>
    <w:rsid w:val="119842DD"/>
    <w:rsid w:val="12A15D68"/>
    <w:rsid w:val="165D6CB3"/>
    <w:rsid w:val="16C805D0"/>
    <w:rsid w:val="19452AA5"/>
    <w:rsid w:val="2CB56F75"/>
    <w:rsid w:val="2DB54FDF"/>
    <w:rsid w:val="2E156399"/>
    <w:rsid w:val="34015BC2"/>
    <w:rsid w:val="378D25B5"/>
    <w:rsid w:val="37E06035"/>
    <w:rsid w:val="38CA0A37"/>
    <w:rsid w:val="40EB3103"/>
    <w:rsid w:val="411E0B85"/>
    <w:rsid w:val="427E301C"/>
    <w:rsid w:val="4433578A"/>
    <w:rsid w:val="44E56D05"/>
    <w:rsid w:val="45612AD5"/>
    <w:rsid w:val="46D06EA9"/>
    <w:rsid w:val="48252953"/>
    <w:rsid w:val="49CD36F0"/>
    <w:rsid w:val="4DA04AFA"/>
    <w:rsid w:val="4EF13E61"/>
    <w:rsid w:val="522602C5"/>
    <w:rsid w:val="54972863"/>
    <w:rsid w:val="57174680"/>
    <w:rsid w:val="5A9F29C3"/>
    <w:rsid w:val="5C546007"/>
    <w:rsid w:val="5DA91E1F"/>
    <w:rsid w:val="5EDA66BF"/>
    <w:rsid w:val="60B14ECE"/>
    <w:rsid w:val="622A0531"/>
    <w:rsid w:val="645C0E1F"/>
    <w:rsid w:val="67AC671F"/>
    <w:rsid w:val="6F6E2E43"/>
    <w:rsid w:val="72DA6836"/>
    <w:rsid w:val="743F5C73"/>
    <w:rsid w:val="761558C9"/>
    <w:rsid w:val="767E3092"/>
    <w:rsid w:val="784C3D32"/>
    <w:rsid w:val="7B9065DD"/>
    <w:rsid w:val="7DDE02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0" w:semiHidden="0"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next w:val="1"/>
    <w:link w:val="19"/>
    <w:qFormat/>
    <w:uiPriority w:val="0"/>
    <w:pPr>
      <w:keepNext/>
      <w:numPr>
        <w:ilvl w:val="0"/>
        <w:numId w:val="1"/>
      </w:numPr>
      <w:adjustRightInd w:val="0"/>
      <w:snapToGrid w:val="0"/>
      <w:spacing w:before="163" w:beforeLines="50" w:after="163" w:afterLines="50" w:line="360" w:lineRule="auto"/>
      <w:ind w:left="0" w:firstLine="0"/>
      <w:outlineLvl w:val="0"/>
    </w:pPr>
    <w:rPr>
      <w:rFonts w:ascii="幼圆" w:hAnsi="宋体" w:eastAsia="幼圆" w:cstheme="minorBidi"/>
      <w:b/>
      <w:bCs/>
      <w:kern w:val="2"/>
      <w:sz w:val="32"/>
      <w:szCs w:val="32"/>
      <w:lang w:val="en-US" w:eastAsia="zh-CN" w:bidi="ar-SA"/>
    </w:rPr>
  </w:style>
  <w:style w:type="paragraph" w:styleId="3">
    <w:name w:val="heading 2"/>
    <w:basedOn w:val="4"/>
    <w:next w:val="1"/>
    <w:link w:val="18"/>
    <w:unhideWhenUsed/>
    <w:qFormat/>
    <w:uiPriority w:val="0"/>
    <w:pPr>
      <w:keepNext/>
      <w:keepLines/>
      <w:numPr>
        <w:ilvl w:val="1"/>
        <w:numId w:val="1"/>
      </w:numPr>
      <w:autoSpaceDE w:val="0"/>
      <w:autoSpaceDN w:val="0"/>
      <w:spacing w:before="120" w:after="120"/>
      <w:jc w:val="left"/>
      <w:outlineLvl w:val="1"/>
    </w:pPr>
    <w:rPr>
      <w:rFonts w:ascii="幼圆" w:hAnsi="宋体" w:eastAsia="幼圆" w:cstheme="majorBidi"/>
      <w:b/>
      <w:bCs/>
      <w:kern w:val="0"/>
      <w:sz w:val="28"/>
      <w:szCs w:val="28"/>
    </w:rPr>
  </w:style>
  <w:style w:type="paragraph" w:styleId="5">
    <w:name w:val="heading 3"/>
    <w:basedOn w:val="1"/>
    <w:next w:val="1"/>
    <w:link w:val="20"/>
    <w:unhideWhenUsed/>
    <w:qFormat/>
    <w:uiPriority w:val="9"/>
    <w:pPr>
      <w:keepNext/>
      <w:keepLines/>
      <w:numPr>
        <w:ilvl w:val="2"/>
        <w:numId w:val="1"/>
      </w:numPr>
      <w:autoSpaceDE w:val="0"/>
      <w:autoSpaceDN w:val="0"/>
      <w:spacing w:before="163" w:beforeLines="50" w:after="163" w:afterLines="50"/>
      <w:ind w:left="0" w:firstLine="0"/>
      <w:jc w:val="left"/>
      <w:outlineLvl w:val="2"/>
    </w:pPr>
    <w:rPr>
      <w:rFonts w:eastAsia="幼圆" w:asciiTheme="minorHAnsi" w:hAnsiTheme="minorHAnsi" w:cstheme="minorBidi"/>
      <w:b/>
      <w:bCs/>
      <w:kern w:val="0"/>
      <w:sz w:val="28"/>
      <w:szCs w:val="28"/>
    </w:rPr>
  </w:style>
  <w:style w:type="paragraph" w:styleId="6">
    <w:name w:val="heading 4"/>
    <w:basedOn w:val="1"/>
    <w:next w:val="1"/>
    <w:link w:val="21"/>
    <w:unhideWhenUsed/>
    <w:qFormat/>
    <w:uiPriority w:val="0"/>
    <w:pPr>
      <w:keepNext/>
      <w:keepLines/>
      <w:numPr>
        <w:ilvl w:val="3"/>
        <w:numId w:val="1"/>
      </w:numPr>
      <w:spacing w:after="120"/>
      <w:ind w:firstLine="0"/>
      <w:outlineLvl w:val="3"/>
    </w:pPr>
    <w:rPr>
      <w:rFonts w:asciiTheme="majorHAnsi" w:hAnsiTheme="majorHAnsi" w:cstheme="majorBidi"/>
      <w:b/>
      <w:bCs/>
      <w:sz w:val="28"/>
      <w:szCs w:val="28"/>
    </w:rPr>
  </w:style>
  <w:style w:type="paragraph" w:styleId="7">
    <w:name w:val="heading 5"/>
    <w:basedOn w:val="1"/>
    <w:next w:val="1"/>
    <w:link w:val="22"/>
    <w:unhideWhenUsed/>
    <w:qFormat/>
    <w:uiPriority w:val="0"/>
    <w:pPr>
      <w:keepNext/>
      <w:keepLines/>
      <w:numPr>
        <w:ilvl w:val="4"/>
        <w:numId w:val="1"/>
      </w:numPr>
      <w:spacing w:before="120" w:after="120"/>
      <w:ind w:firstLine="0"/>
      <w:outlineLvl w:val="4"/>
    </w:pPr>
    <w:rPr>
      <w:rFonts w:eastAsia="仿宋" w:asciiTheme="minorHAnsi" w:hAnsiTheme="minorHAnsi" w:cstheme="minorBidi"/>
      <w:b/>
      <w:bCs/>
      <w:sz w:val="28"/>
      <w:szCs w:val="28"/>
    </w:rPr>
  </w:style>
  <w:style w:type="paragraph" w:styleId="8">
    <w:name w:val="heading 6"/>
    <w:basedOn w:val="1"/>
    <w:next w:val="1"/>
    <w:link w:val="23"/>
    <w:unhideWhenUsed/>
    <w:qFormat/>
    <w:uiPriority w:val="9"/>
    <w:pPr>
      <w:keepNext/>
      <w:keepLines/>
      <w:numPr>
        <w:ilvl w:val="5"/>
        <w:numId w:val="1"/>
      </w:numPr>
      <w:spacing w:before="240" w:after="64" w:line="320" w:lineRule="auto"/>
      <w:ind w:firstLine="0"/>
      <w:outlineLvl w:val="5"/>
    </w:pPr>
    <w:rPr>
      <w:rFonts w:cstheme="majorBidi"/>
      <w:b/>
      <w:bCs/>
      <w:sz w:val="28"/>
      <w:szCs w:val="28"/>
    </w:rPr>
  </w:style>
  <w:style w:type="paragraph" w:styleId="9">
    <w:name w:val="heading 7"/>
    <w:basedOn w:val="1"/>
    <w:next w:val="1"/>
    <w:link w:val="24"/>
    <w:unhideWhenUsed/>
    <w:qFormat/>
    <w:uiPriority w:val="0"/>
    <w:pPr>
      <w:keepNext/>
      <w:keepLines/>
      <w:numPr>
        <w:ilvl w:val="6"/>
        <w:numId w:val="1"/>
      </w:numPr>
      <w:tabs>
        <w:tab w:val="left" w:pos="1080"/>
      </w:tabs>
      <w:ind w:firstLine="0"/>
      <w:outlineLvl w:val="6"/>
    </w:pPr>
    <w:rPr>
      <w:rFonts w:ascii="幼圆" w:hAnsi="黑体" w:eastAsia="幼圆" w:cstheme="minorBidi"/>
      <w:b/>
      <w:bCs/>
    </w:rPr>
  </w:style>
  <w:style w:type="paragraph" w:styleId="10">
    <w:name w:val="heading 9"/>
    <w:basedOn w:val="1"/>
    <w:next w:val="1"/>
    <w:link w:val="27"/>
    <w:unhideWhenUsed/>
    <w:qFormat/>
    <w:uiPriority w:val="9"/>
    <w:pPr>
      <w:keepNext/>
      <w:keepLines/>
      <w:numPr>
        <w:ilvl w:val="8"/>
        <w:numId w:val="1"/>
      </w:numPr>
      <w:spacing w:before="240" w:after="64" w:line="320" w:lineRule="auto"/>
      <w:ind w:firstLine="0"/>
      <w:outlineLvl w:val="8"/>
    </w:pPr>
    <w:rPr>
      <w:rFonts w:asciiTheme="majorHAnsi" w:hAnsiTheme="majorHAnsi" w:eastAsiaTheme="majorEastAsia" w:cstheme="majorBidi"/>
      <w:sz w:val="21"/>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4">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paragraph" w:styleId="11">
    <w:name w:val="Body Text"/>
    <w:basedOn w:val="1"/>
    <w:link w:val="33"/>
    <w:unhideWhenUsed/>
    <w:qFormat/>
    <w:uiPriority w:val="1"/>
    <w:pPr>
      <w:spacing w:after="120"/>
    </w:pPr>
  </w:style>
  <w:style w:type="paragraph" w:styleId="12">
    <w:name w:val="footer"/>
    <w:basedOn w:val="1"/>
    <w:link w:val="39"/>
    <w:unhideWhenUsed/>
    <w:qFormat/>
    <w:uiPriority w:val="99"/>
    <w:pPr>
      <w:tabs>
        <w:tab w:val="center" w:pos="4153"/>
        <w:tab w:val="right" w:pos="8306"/>
      </w:tabs>
      <w:spacing w:line="240" w:lineRule="auto"/>
      <w:jc w:val="left"/>
    </w:pPr>
    <w:rPr>
      <w:sz w:val="18"/>
      <w:szCs w:val="18"/>
    </w:rPr>
  </w:style>
  <w:style w:type="paragraph" w:styleId="13">
    <w:name w:val="header"/>
    <w:basedOn w:val="1"/>
    <w:link w:val="38"/>
    <w:unhideWhenUsed/>
    <w:qFormat/>
    <w:uiPriority w:val="99"/>
    <w:pPr>
      <w:tabs>
        <w:tab w:val="center" w:pos="4153"/>
        <w:tab w:val="right" w:pos="8306"/>
      </w:tabs>
      <w:spacing w:line="240" w:lineRule="auto"/>
      <w:jc w:val="center"/>
    </w:pPr>
    <w:rPr>
      <w:sz w:val="18"/>
      <w:szCs w:val="18"/>
    </w:rPr>
  </w:style>
  <w:style w:type="paragraph" w:styleId="14">
    <w:name w:val="Body Text First Indent"/>
    <w:basedOn w:val="11"/>
    <w:link w:val="34"/>
    <w:unhideWhenUsed/>
    <w:qFormat/>
    <w:uiPriority w:val="99"/>
    <w:pPr>
      <w:ind w:firstLine="420" w:firstLineChars="100"/>
    </w:pPr>
  </w:style>
  <w:style w:type="character" w:styleId="17">
    <w:name w:val="Strong"/>
    <w:basedOn w:val="16"/>
    <w:qFormat/>
    <w:uiPriority w:val="0"/>
    <w:rPr>
      <w:b/>
    </w:rPr>
  </w:style>
  <w:style w:type="character" w:customStyle="1" w:styleId="18">
    <w:name w:val="标题 2 字符"/>
    <w:basedOn w:val="16"/>
    <w:link w:val="3"/>
    <w:qFormat/>
    <w:uiPriority w:val="0"/>
    <w:rPr>
      <w:rFonts w:ascii="幼圆" w:hAnsi="宋体" w:eastAsia="幼圆" w:cstheme="majorBidi"/>
      <w:b/>
      <w:bCs/>
      <w:kern w:val="0"/>
      <w:sz w:val="28"/>
      <w:szCs w:val="28"/>
    </w:rPr>
  </w:style>
  <w:style w:type="character" w:customStyle="1" w:styleId="19">
    <w:name w:val="标题 1 字符"/>
    <w:basedOn w:val="16"/>
    <w:link w:val="2"/>
    <w:qFormat/>
    <w:uiPriority w:val="0"/>
    <w:rPr>
      <w:rFonts w:ascii="幼圆" w:hAnsi="宋体" w:eastAsia="幼圆"/>
      <w:b/>
      <w:bCs/>
      <w:sz w:val="32"/>
      <w:szCs w:val="32"/>
    </w:rPr>
  </w:style>
  <w:style w:type="character" w:customStyle="1" w:styleId="20">
    <w:name w:val="标题 3 字符"/>
    <w:basedOn w:val="16"/>
    <w:link w:val="5"/>
    <w:qFormat/>
    <w:uiPriority w:val="9"/>
    <w:rPr>
      <w:rFonts w:eastAsia="幼圆"/>
      <w:b/>
      <w:bCs/>
      <w:kern w:val="0"/>
      <w:sz w:val="28"/>
      <w:szCs w:val="28"/>
    </w:rPr>
  </w:style>
  <w:style w:type="character" w:customStyle="1" w:styleId="21">
    <w:name w:val="标题 4 字符"/>
    <w:basedOn w:val="16"/>
    <w:link w:val="6"/>
    <w:qFormat/>
    <w:uiPriority w:val="0"/>
    <w:rPr>
      <w:rFonts w:eastAsia="宋体" w:asciiTheme="majorHAnsi" w:hAnsiTheme="majorHAnsi" w:cstheme="majorBidi"/>
      <w:b/>
      <w:bCs/>
      <w:sz w:val="28"/>
      <w:szCs w:val="28"/>
    </w:rPr>
  </w:style>
  <w:style w:type="character" w:customStyle="1" w:styleId="22">
    <w:name w:val="标题 5 字符"/>
    <w:basedOn w:val="16"/>
    <w:link w:val="7"/>
    <w:qFormat/>
    <w:uiPriority w:val="0"/>
    <w:rPr>
      <w:rFonts w:eastAsia="仿宋"/>
      <w:b/>
      <w:bCs/>
      <w:sz w:val="28"/>
      <w:szCs w:val="28"/>
    </w:rPr>
  </w:style>
  <w:style w:type="character" w:customStyle="1" w:styleId="23">
    <w:name w:val="标题 6 字符"/>
    <w:basedOn w:val="16"/>
    <w:link w:val="8"/>
    <w:qFormat/>
    <w:uiPriority w:val="9"/>
    <w:rPr>
      <w:rFonts w:ascii="宋体" w:hAnsi="宋体" w:eastAsia="宋体" w:cstheme="majorBidi"/>
      <w:b/>
      <w:bCs/>
      <w:sz w:val="28"/>
      <w:szCs w:val="28"/>
    </w:rPr>
  </w:style>
  <w:style w:type="character" w:customStyle="1" w:styleId="24">
    <w:name w:val="标题 7 字符"/>
    <w:basedOn w:val="16"/>
    <w:link w:val="9"/>
    <w:qFormat/>
    <w:uiPriority w:val="0"/>
    <w:rPr>
      <w:rFonts w:ascii="幼圆" w:hAnsi="黑体" w:eastAsia="幼圆"/>
      <w:b/>
      <w:bCs/>
      <w:sz w:val="24"/>
      <w:szCs w:val="24"/>
    </w:rPr>
  </w:style>
  <w:style w:type="paragraph" w:customStyle="1" w:styleId="25">
    <w:name w:val="一、章节"/>
    <w:basedOn w:val="1"/>
    <w:next w:val="1"/>
    <w:link w:val="26"/>
    <w:qFormat/>
    <w:uiPriority w:val="0"/>
    <w:pPr>
      <w:pageBreakBefore/>
      <w:numPr>
        <w:ilvl w:val="0"/>
        <w:numId w:val="2"/>
      </w:numPr>
      <w:spacing w:after="120" w:line="240" w:lineRule="auto"/>
      <w:ind w:firstLine="0"/>
      <w:outlineLvl w:val="0"/>
    </w:pPr>
    <w:rPr>
      <w:rFonts w:ascii="微软雅黑" w:hAnsi="微软雅黑" w:eastAsia="微软雅黑"/>
      <w:kern w:val="44"/>
      <w:sz w:val="36"/>
      <w:szCs w:val="36"/>
    </w:rPr>
  </w:style>
  <w:style w:type="character" w:customStyle="1" w:styleId="26">
    <w:name w:val="一、章节 字符"/>
    <w:basedOn w:val="19"/>
    <w:link w:val="25"/>
    <w:qFormat/>
    <w:uiPriority w:val="0"/>
    <w:rPr>
      <w:rFonts w:ascii="微软雅黑" w:hAnsi="微软雅黑" w:eastAsia="微软雅黑" w:cs="Arial"/>
      <w:b w:val="0"/>
      <w:bCs w:val="0"/>
      <w:kern w:val="44"/>
      <w:sz w:val="36"/>
      <w:szCs w:val="36"/>
    </w:rPr>
  </w:style>
  <w:style w:type="character" w:customStyle="1" w:styleId="27">
    <w:name w:val="标题 9 字符"/>
    <w:basedOn w:val="16"/>
    <w:link w:val="10"/>
    <w:semiHidden/>
    <w:qFormat/>
    <w:uiPriority w:val="9"/>
    <w:rPr>
      <w:rFonts w:asciiTheme="majorHAnsi" w:hAnsiTheme="majorHAnsi" w:eastAsiaTheme="majorEastAsia" w:cstheme="majorBidi"/>
    </w:rPr>
  </w:style>
  <w:style w:type="paragraph" w:customStyle="1" w:styleId="28">
    <w:name w:val="样式2"/>
    <w:basedOn w:val="3"/>
    <w:next w:val="3"/>
    <w:link w:val="29"/>
    <w:qFormat/>
    <w:uiPriority w:val="0"/>
    <w:pPr>
      <w:numPr>
        <w:ilvl w:val="0"/>
        <w:numId w:val="0"/>
      </w:numPr>
    </w:pPr>
  </w:style>
  <w:style w:type="character" w:customStyle="1" w:styleId="29">
    <w:name w:val="样式2 字符"/>
    <w:basedOn w:val="16"/>
    <w:link w:val="28"/>
    <w:qFormat/>
    <w:uiPriority w:val="0"/>
    <w:rPr>
      <w:rFonts w:ascii="幼圆" w:hAnsi="黑体" w:eastAsia="幼圆" w:cs="Times New Roman"/>
      <w:b/>
      <w:bCs/>
      <w:kern w:val="44"/>
      <w:sz w:val="32"/>
      <w:szCs w:val="32"/>
    </w:rPr>
  </w:style>
  <w:style w:type="paragraph" w:customStyle="1" w:styleId="30">
    <w:name w:val="样式4"/>
    <w:basedOn w:val="6"/>
    <w:link w:val="31"/>
    <w:qFormat/>
    <w:uiPriority w:val="0"/>
    <w:pPr>
      <w:numPr>
        <w:numId w:val="3"/>
      </w:numPr>
    </w:pPr>
  </w:style>
  <w:style w:type="character" w:customStyle="1" w:styleId="31">
    <w:name w:val="样式4 字符"/>
    <w:basedOn w:val="16"/>
    <w:link w:val="30"/>
    <w:qFormat/>
    <w:uiPriority w:val="0"/>
    <w:rPr>
      <w:rFonts w:ascii="微软雅黑" w:hAnsi="微软雅黑" w:eastAsia="微软雅黑" w:cstheme="majorBidi"/>
      <w:bCs/>
      <w:sz w:val="28"/>
      <w:szCs w:val="28"/>
    </w:rPr>
  </w:style>
  <w:style w:type="paragraph" w:customStyle="1" w:styleId="32">
    <w:name w:val="TOC Heading"/>
    <w:basedOn w:val="2"/>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2F5597" w:themeColor="accent1" w:themeShade="BF"/>
      <w:kern w:val="0"/>
    </w:rPr>
  </w:style>
  <w:style w:type="character" w:customStyle="1" w:styleId="33">
    <w:name w:val="正文文本 字符"/>
    <w:basedOn w:val="16"/>
    <w:link w:val="11"/>
    <w:qFormat/>
    <w:uiPriority w:val="1"/>
    <w:rPr>
      <w:rFonts w:ascii="Calibri" w:hAnsi="Calibri" w:eastAsia="宋体" w:cs="Times New Roman"/>
      <w:sz w:val="24"/>
      <w:szCs w:val="24"/>
    </w:rPr>
  </w:style>
  <w:style w:type="character" w:customStyle="1" w:styleId="34">
    <w:name w:val="正文文本首行缩进 字符"/>
    <w:basedOn w:val="33"/>
    <w:link w:val="14"/>
    <w:semiHidden/>
    <w:qFormat/>
    <w:uiPriority w:val="99"/>
    <w:rPr>
      <w:rFonts w:ascii="Calibri" w:hAnsi="Calibri" w:eastAsia="宋体" w:cs="Times New Roman"/>
      <w:sz w:val="24"/>
      <w:szCs w:val="24"/>
    </w:rPr>
  </w:style>
  <w:style w:type="paragraph" w:customStyle="1" w:styleId="35">
    <w:name w:val="普通(网站)1"/>
    <w:basedOn w:val="1"/>
    <w:qFormat/>
    <w:uiPriority w:val="0"/>
    <w:pPr>
      <w:jc w:val="left"/>
    </w:pPr>
    <w:rPr>
      <w:kern w:val="0"/>
    </w:rPr>
  </w:style>
  <w:style w:type="paragraph" w:customStyle="1" w:styleId="36">
    <w:name w:val="列出段落2"/>
    <w:basedOn w:val="1"/>
    <w:qFormat/>
    <w:uiPriority w:val="0"/>
    <w:pPr>
      <w:adjustRightInd/>
      <w:snapToGrid/>
      <w:spacing w:line="240" w:lineRule="auto"/>
      <w:ind w:firstLine="420" w:firstLineChars="200"/>
    </w:pPr>
    <w:rPr>
      <w:rFonts w:ascii="Times New Roman" w:hAnsi="Times New Roman"/>
      <w:sz w:val="21"/>
      <w:szCs w:val="21"/>
    </w:rPr>
  </w:style>
  <w:style w:type="paragraph" w:customStyle="1" w:styleId="37">
    <w:name w:val="List Paragraph"/>
    <w:basedOn w:val="1"/>
    <w:qFormat/>
    <w:uiPriority w:val="99"/>
    <w:pPr>
      <w:ind w:firstLine="420" w:firstLineChars="200"/>
    </w:pPr>
  </w:style>
  <w:style w:type="character" w:customStyle="1" w:styleId="38">
    <w:name w:val="页眉 字符"/>
    <w:basedOn w:val="16"/>
    <w:link w:val="13"/>
    <w:qFormat/>
    <w:uiPriority w:val="99"/>
    <w:rPr>
      <w:rFonts w:ascii="Calibri" w:hAnsi="Calibri" w:eastAsia="宋体" w:cs="Times New Roman"/>
      <w:sz w:val="18"/>
      <w:szCs w:val="18"/>
    </w:rPr>
  </w:style>
  <w:style w:type="character" w:customStyle="1" w:styleId="39">
    <w:name w:val="页脚 字符"/>
    <w:basedOn w:val="16"/>
    <w:link w:val="12"/>
    <w:qFormat/>
    <w:uiPriority w:val="99"/>
    <w:rPr>
      <w:rFonts w:ascii="Calibri" w:hAnsi="Calibri" w:eastAsia="宋体" w:cs="Times New Roman"/>
      <w:sz w:val="18"/>
      <w:szCs w:val="18"/>
    </w:rPr>
  </w:style>
  <w:style w:type="paragraph" w:customStyle="1" w:styleId="40">
    <w:name w:val="Normal Indent1"/>
    <w:basedOn w:val="1"/>
    <w:qFormat/>
    <w:uiPriority w:val="0"/>
    <w:pPr>
      <w:autoSpaceDE w:val="0"/>
      <w:autoSpaceDN w:val="0"/>
      <w:snapToGrid/>
      <w:spacing w:line="240" w:lineRule="auto"/>
      <w:ind w:firstLine="420"/>
      <w:textAlignment w:val="baseline"/>
    </w:pPr>
    <w:rPr>
      <w:rFonts w:ascii="宋体" w:hAnsiTheme="minorHAnsi" w:eastAsiaTheme="minorEastAsia" w:cstheme="minorBidi"/>
      <w:kern w:val="0"/>
      <w:sz w:val="21"/>
      <w:szCs w:val="22"/>
    </w:rPr>
  </w:style>
  <w:style w:type="paragraph" w:customStyle="1" w:styleId="41">
    <w:name w:val="段落四号"/>
    <w:qFormat/>
    <w:uiPriority w:val="0"/>
    <w:pPr>
      <w:adjustRightInd w:val="0"/>
      <w:snapToGrid w:val="0"/>
      <w:spacing w:before="60" w:after="60" w:line="288" w:lineRule="auto"/>
      <w:ind w:firstLine="480" w:firstLineChars="200"/>
      <w:jc w:val="both"/>
    </w:pPr>
    <w:rPr>
      <w:rFonts w:ascii="Times New Roman" w:hAnsi="Times New Roman" w:eastAsia="宋体" w:cs="Times New Roman"/>
      <w:kern w:val="2"/>
      <w:sz w:val="30"/>
      <w:szCs w:val="24"/>
      <w:shd w:val="clear" w:color="auto" w:fill="FFFFFF"/>
      <w:lang w:val="en-US" w:eastAsia="zh-CN" w:bidi="ar-SA"/>
    </w:rPr>
  </w:style>
  <w:style w:type="paragraph" w:customStyle="1" w:styleId="42">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0"/>
      <w:sz w:val="24"/>
      <w:szCs w:val="20"/>
      <w:lang w:val="en-US" w:eastAsia="zh-CN" w:bidi="ar-SA"/>
    </w:rPr>
  </w:style>
  <w:style w:type="paragraph" w:customStyle="1" w:styleId="43">
    <w:name w:val="文档-正文"/>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4279</Words>
  <Characters>4488</Characters>
  <Lines>10</Lines>
  <Paragraphs>2</Paragraphs>
  <TotalTime>0</TotalTime>
  <ScaleCrop>false</ScaleCrop>
  <LinksUpToDate>false</LinksUpToDate>
  <CharactersWithSpaces>4500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2024-04-13T00:15:00Z</dcterms:created>
  <dc:creator>DH</dc:creator>
  <cp:lastModifiedBy>yzl495</cp:lastModifiedBy>
  <dcterms:modified xsi:type="dcterms:W3CDTF">2024-07-01T05:03:58Z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A6A2D7226DBC4DB6AFAB2061B3D7E3B5_13</vt:lpwstr>
  </property>
</Properties>
</file>