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80AC2F">
      <w:pPr>
        <w:pageBreakBefore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val="en-US" w:eastAsia="zh-CN"/>
        </w:rPr>
        <w:t>附件：  赣南医科大学第三附属医院（附属口腔医院）</w:t>
      </w:r>
    </w:p>
    <w:p w14:paraId="0C6F7F8B">
      <w:pPr>
        <w:pageBreakBefore w:val="0"/>
        <w:kinsoku/>
        <w:wordWrap/>
        <w:overflowPunct/>
        <w:topLinePunct w:val="0"/>
        <w:autoSpaceDE/>
        <w:autoSpaceDN/>
        <w:bidi w:val="0"/>
        <w:adjustRightInd/>
        <w:snapToGrid/>
        <w:spacing w:line="560" w:lineRule="exact"/>
        <w:ind w:firstLine="1280" w:firstLineChars="400"/>
        <w:jc w:val="both"/>
        <w:textAlignment w:val="auto"/>
        <w:rPr>
          <w:rFonts w:ascii="宋体" w:hAnsi="宋体"/>
          <w:sz w:val="27"/>
          <w:szCs w:val="27"/>
        </w:rPr>
      </w:pPr>
      <w:r>
        <w:rPr>
          <w:rFonts w:hint="eastAsia" w:ascii="黑体" w:hAnsi="黑体" w:eastAsia="黑体" w:cs="黑体"/>
          <w:sz w:val="32"/>
          <w:szCs w:val="32"/>
          <w:lang w:val="en-US" w:eastAsia="zh-CN"/>
        </w:rPr>
        <w:t>纸质档案数字化项目采购需求和技术规格</w:t>
      </w:r>
    </w:p>
    <w:p w14:paraId="455E16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费用。</w:t>
      </w:r>
      <w:r>
        <w:rPr>
          <w:rFonts w:hint="eastAsia" w:ascii="仿宋_GB2312" w:hAnsi="仿宋_GB2312" w:eastAsia="仿宋_GB2312" w:cs="仿宋_GB2312"/>
          <w:sz w:val="32"/>
          <w:szCs w:val="32"/>
        </w:rPr>
        <w:t>本采购项目总金额</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各类别成交单价=最高限价×成交折扣率</w:t>
      </w:r>
      <w:r>
        <w:rPr>
          <w:rFonts w:hint="eastAsia" w:ascii="仿宋_GB2312" w:hAnsi="仿宋_GB2312" w:eastAsia="仿宋_GB2312" w:cs="仿宋_GB2312"/>
          <w:sz w:val="32"/>
          <w:szCs w:val="32"/>
          <w:lang w:eastAsia="zh-CN"/>
        </w:rPr>
        <w:t>，最终结算价款以成交供应商实际完成的工作量计算，费用含税费及加工服务期间必须的设备、日常易耗品、工具、调试费、培训费、搬运费、档案盒更换、数据（含监控录像）移交存储介质采购等相关费用</w:t>
      </w:r>
      <w:r>
        <w:rPr>
          <w:rFonts w:hint="eastAsia" w:ascii="仿宋_GB2312" w:hAnsi="仿宋_GB2312" w:eastAsia="仿宋_GB2312" w:cs="仿宋_GB2312"/>
          <w:sz w:val="32"/>
          <w:szCs w:val="32"/>
        </w:rPr>
        <w:t>。</w:t>
      </w:r>
    </w:p>
    <w:tbl>
      <w:tblPr>
        <w:tblStyle w:val="5"/>
        <w:tblW w:w="8829" w:type="dxa"/>
        <w:jc w:val="center"/>
        <w:tblLayout w:type="fixed"/>
        <w:tblCellMar>
          <w:top w:w="0" w:type="dxa"/>
          <w:left w:w="10" w:type="dxa"/>
          <w:bottom w:w="0" w:type="dxa"/>
          <w:right w:w="10" w:type="dxa"/>
        </w:tblCellMar>
      </w:tblPr>
      <w:tblGrid>
        <w:gridCol w:w="780"/>
        <w:gridCol w:w="1410"/>
        <w:gridCol w:w="1339"/>
        <w:gridCol w:w="1716"/>
        <w:gridCol w:w="1617"/>
        <w:gridCol w:w="1967"/>
      </w:tblGrid>
      <w:tr w14:paraId="0E869964">
        <w:tblPrEx>
          <w:tblCellMar>
            <w:top w:w="0" w:type="dxa"/>
            <w:left w:w="10" w:type="dxa"/>
            <w:bottom w:w="0" w:type="dxa"/>
            <w:right w:w="10" w:type="dxa"/>
          </w:tblCellMar>
        </w:tblPrEx>
        <w:trPr>
          <w:trHeight w:val="414" w:hRule="atLeast"/>
          <w:jc w:val="center"/>
        </w:trPr>
        <w:tc>
          <w:tcPr>
            <w:tcW w:w="780" w:type="dxa"/>
            <w:tcBorders>
              <w:top w:val="single" w:color="auto" w:sz="6" w:space="0"/>
              <w:left w:val="single" w:color="auto" w:sz="6" w:space="0"/>
              <w:bottom w:val="single" w:color="auto" w:sz="6" w:space="0"/>
              <w:right w:val="single" w:color="auto" w:sz="6" w:space="0"/>
            </w:tcBorders>
            <w:noWrap w:val="0"/>
            <w:vAlign w:val="center"/>
          </w:tcPr>
          <w:p w14:paraId="7ECFD91D">
            <w:pPr>
              <w:keepNext w:val="0"/>
              <w:keepLines w:val="0"/>
              <w:pageBreakBefore w:val="0"/>
              <w:widowControl/>
              <w:kinsoku/>
              <w:wordWrap/>
              <w:overflowPunct/>
              <w:topLinePunct w:val="0"/>
              <w:autoSpaceDE/>
              <w:autoSpaceDN/>
              <w:bidi w:val="0"/>
              <w:adjustRightInd/>
              <w:snapToGrid/>
              <w:spacing w:line="560" w:lineRule="exact"/>
              <w:ind w:left="60" w:right="62"/>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序号</w:t>
            </w:r>
          </w:p>
        </w:tc>
        <w:tc>
          <w:tcPr>
            <w:tcW w:w="1410" w:type="dxa"/>
            <w:tcBorders>
              <w:top w:val="single" w:color="auto" w:sz="6" w:space="0"/>
              <w:left w:val="single" w:color="auto" w:sz="6" w:space="0"/>
              <w:bottom w:val="single" w:color="auto" w:sz="6" w:space="0"/>
              <w:right w:val="single" w:color="auto" w:sz="4" w:space="0"/>
            </w:tcBorders>
            <w:noWrap w:val="0"/>
            <w:vAlign w:val="center"/>
          </w:tcPr>
          <w:p w14:paraId="74D0297A">
            <w:pPr>
              <w:keepNext w:val="0"/>
              <w:keepLines w:val="0"/>
              <w:pageBreakBefore w:val="0"/>
              <w:widowControl/>
              <w:kinsoku/>
              <w:wordWrap/>
              <w:overflowPunct/>
              <w:topLinePunct w:val="0"/>
              <w:autoSpaceDE/>
              <w:autoSpaceDN/>
              <w:bidi w:val="0"/>
              <w:adjustRightInd/>
              <w:snapToGrid/>
              <w:spacing w:line="560" w:lineRule="exact"/>
              <w:ind w:left="60" w:right="62"/>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采购内容</w:t>
            </w:r>
          </w:p>
        </w:tc>
        <w:tc>
          <w:tcPr>
            <w:tcW w:w="1339" w:type="dxa"/>
            <w:tcBorders>
              <w:top w:val="single" w:color="auto" w:sz="6" w:space="0"/>
              <w:left w:val="single" w:color="auto" w:sz="4" w:space="0"/>
              <w:bottom w:val="single" w:color="auto" w:sz="6" w:space="0"/>
              <w:right w:val="single" w:color="auto" w:sz="6" w:space="0"/>
            </w:tcBorders>
            <w:noWrap w:val="0"/>
            <w:vAlign w:val="center"/>
          </w:tcPr>
          <w:p w14:paraId="4D24B0A0">
            <w:pPr>
              <w:keepNext w:val="0"/>
              <w:keepLines w:val="0"/>
              <w:pageBreakBefore w:val="0"/>
              <w:widowControl/>
              <w:kinsoku/>
              <w:wordWrap/>
              <w:overflowPunct/>
              <w:topLinePunct w:val="0"/>
              <w:autoSpaceDE/>
              <w:autoSpaceDN/>
              <w:bidi w:val="0"/>
              <w:adjustRightInd/>
              <w:snapToGrid/>
              <w:spacing w:line="560" w:lineRule="exact"/>
              <w:ind w:right="62"/>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类别</w:t>
            </w:r>
          </w:p>
        </w:tc>
        <w:tc>
          <w:tcPr>
            <w:tcW w:w="1716" w:type="dxa"/>
            <w:tcBorders>
              <w:top w:val="single" w:color="auto" w:sz="6" w:space="0"/>
              <w:left w:val="single" w:color="auto" w:sz="6" w:space="0"/>
              <w:bottom w:val="single" w:color="auto" w:sz="4" w:space="0"/>
              <w:right w:val="single" w:color="auto" w:sz="4" w:space="0"/>
            </w:tcBorders>
            <w:noWrap w:val="0"/>
            <w:vAlign w:val="center"/>
          </w:tcPr>
          <w:p w14:paraId="4FF9E9EF">
            <w:pPr>
              <w:keepNext w:val="0"/>
              <w:keepLines w:val="0"/>
              <w:pageBreakBefore w:val="0"/>
              <w:widowControl/>
              <w:kinsoku/>
              <w:wordWrap/>
              <w:overflowPunct/>
              <w:topLinePunct w:val="0"/>
              <w:autoSpaceDE/>
              <w:autoSpaceDN/>
              <w:bidi w:val="0"/>
              <w:adjustRightInd/>
              <w:snapToGrid/>
              <w:spacing w:line="560" w:lineRule="exact"/>
              <w:ind w:left="60" w:right="62"/>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数量</w:t>
            </w:r>
          </w:p>
        </w:tc>
        <w:tc>
          <w:tcPr>
            <w:tcW w:w="1617" w:type="dxa"/>
            <w:tcBorders>
              <w:top w:val="single" w:color="auto" w:sz="6" w:space="0"/>
              <w:left w:val="single" w:color="auto" w:sz="4" w:space="0"/>
              <w:bottom w:val="single" w:color="auto" w:sz="4" w:space="0"/>
              <w:right w:val="single" w:color="auto" w:sz="6" w:space="0"/>
            </w:tcBorders>
            <w:noWrap w:val="0"/>
            <w:vAlign w:val="center"/>
          </w:tcPr>
          <w:p w14:paraId="549B45AA">
            <w:pPr>
              <w:keepNext w:val="0"/>
              <w:keepLines w:val="0"/>
              <w:pageBreakBefore w:val="0"/>
              <w:widowControl/>
              <w:kinsoku/>
              <w:wordWrap/>
              <w:overflowPunct/>
              <w:topLinePunct w:val="0"/>
              <w:autoSpaceDE/>
              <w:autoSpaceDN/>
              <w:bidi w:val="0"/>
              <w:adjustRightInd/>
              <w:snapToGrid/>
              <w:spacing w:line="560" w:lineRule="exact"/>
              <w:ind w:right="62"/>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最高限</w:t>
            </w:r>
            <w:r>
              <w:rPr>
                <w:rFonts w:hint="eastAsia" w:ascii="仿宋_GB2312" w:hAnsi="仿宋_GB2312" w:eastAsia="仿宋_GB2312" w:cs="仿宋_GB2312"/>
                <w:kern w:val="0"/>
                <w:sz w:val="32"/>
                <w:szCs w:val="32"/>
              </w:rPr>
              <w:t>价</w:t>
            </w:r>
          </w:p>
        </w:tc>
        <w:tc>
          <w:tcPr>
            <w:tcW w:w="1967" w:type="dxa"/>
            <w:tcBorders>
              <w:top w:val="single" w:color="auto" w:sz="6" w:space="0"/>
              <w:left w:val="single" w:color="auto" w:sz="6" w:space="0"/>
              <w:bottom w:val="single" w:color="auto" w:sz="4" w:space="0"/>
              <w:right w:val="single" w:color="auto" w:sz="4" w:space="0"/>
            </w:tcBorders>
            <w:noWrap w:val="0"/>
            <w:vAlign w:val="center"/>
          </w:tcPr>
          <w:p w14:paraId="50B27FF0">
            <w:pPr>
              <w:keepNext w:val="0"/>
              <w:keepLines w:val="0"/>
              <w:pageBreakBefore w:val="0"/>
              <w:widowControl/>
              <w:kinsoku/>
              <w:wordWrap/>
              <w:overflowPunct/>
              <w:topLinePunct w:val="0"/>
              <w:autoSpaceDE/>
              <w:autoSpaceDN/>
              <w:bidi w:val="0"/>
              <w:adjustRightInd/>
              <w:snapToGrid/>
              <w:spacing w:line="560" w:lineRule="exact"/>
              <w:ind w:right="62"/>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采购预算</w:t>
            </w:r>
          </w:p>
        </w:tc>
      </w:tr>
      <w:tr w14:paraId="03B66A67">
        <w:tblPrEx>
          <w:tblCellMar>
            <w:top w:w="0" w:type="dxa"/>
            <w:left w:w="10" w:type="dxa"/>
            <w:bottom w:w="0" w:type="dxa"/>
            <w:right w:w="10" w:type="dxa"/>
          </w:tblCellMar>
        </w:tblPrEx>
        <w:trPr>
          <w:trHeight w:val="595" w:hRule="atLeast"/>
          <w:jc w:val="center"/>
        </w:trPr>
        <w:tc>
          <w:tcPr>
            <w:tcW w:w="780" w:type="dxa"/>
            <w:tcBorders>
              <w:top w:val="single" w:color="auto" w:sz="6" w:space="0"/>
              <w:left w:val="single" w:color="auto" w:sz="6" w:space="0"/>
              <w:right w:val="single" w:color="auto" w:sz="6" w:space="0"/>
            </w:tcBorders>
            <w:noWrap w:val="0"/>
            <w:vAlign w:val="center"/>
          </w:tcPr>
          <w:p w14:paraId="305A8AC1">
            <w:pPr>
              <w:keepNext w:val="0"/>
              <w:keepLines w:val="0"/>
              <w:pageBreakBefore w:val="0"/>
              <w:widowControl/>
              <w:kinsoku/>
              <w:wordWrap/>
              <w:overflowPunct/>
              <w:topLinePunct w:val="0"/>
              <w:autoSpaceDE/>
              <w:autoSpaceDN/>
              <w:bidi w:val="0"/>
              <w:adjustRightInd/>
              <w:snapToGrid/>
              <w:spacing w:line="560" w:lineRule="exact"/>
              <w:ind w:left="60" w:right="62"/>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w:t>
            </w:r>
          </w:p>
        </w:tc>
        <w:tc>
          <w:tcPr>
            <w:tcW w:w="1410" w:type="dxa"/>
            <w:tcBorders>
              <w:top w:val="single" w:color="auto" w:sz="6" w:space="0"/>
              <w:left w:val="single" w:color="auto" w:sz="6" w:space="0"/>
              <w:right w:val="single" w:color="auto" w:sz="4" w:space="0"/>
            </w:tcBorders>
            <w:noWrap w:val="0"/>
            <w:vAlign w:val="center"/>
          </w:tcPr>
          <w:p w14:paraId="27EC1560">
            <w:pPr>
              <w:keepNext w:val="0"/>
              <w:keepLines w:val="0"/>
              <w:pageBreakBefore w:val="0"/>
              <w:widowControl/>
              <w:kinsoku/>
              <w:wordWrap/>
              <w:overflowPunct/>
              <w:topLinePunct w:val="0"/>
              <w:autoSpaceDE/>
              <w:autoSpaceDN/>
              <w:bidi w:val="0"/>
              <w:adjustRightInd/>
              <w:snapToGrid/>
              <w:spacing w:line="560" w:lineRule="exact"/>
              <w:ind w:left="60" w:right="62"/>
              <w:jc w:val="center"/>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bCs/>
                <w:sz w:val="32"/>
                <w:szCs w:val="32"/>
                <w:lang w:val="en-US" w:eastAsia="zh-CN"/>
              </w:rPr>
              <w:t>扫描</w:t>
            </w:r>
          </w:p>
        </w:tc>
        <w:tc>
          <w:tcPr>
            <w:tcW w:w="1339" w:type="dxa"/>
            <w:tcBorders>
              <w:top w:val="single" w:color="auto" w:sz="6" w:space="0"/>
              <w:left w:val="single" w:color="auto" w:sz="4" w:space="0"/>
              <w:bottom w:val="single" w:color="auto" w:sz="4" w:space="0"/>
              <w:right w:val="single" w:color="auto" w:sz="6" w:space="0"/>
            </w:tcBorders>
            <w:noWrap w:val="0"/>
            <w:vAlign w:val="center"/>
          </w:tcPr>
          <w:p w14:paraId="50F130C9">
            <w:pPr>
              <w:keepNext w:val="0"/>
              <w:keepLines w:val="0"/>
              <w:pageBreakBefore w:val="0"/>
              <w:widowControl/>
              <w:kinsoku/>
              <w:wordWrap/>
              <w:overflowPunct/>
              <w:topLinePunct w:val="0"/>
              <w:autoSpaceDE/>
              <w:autoSpaceDN/>
              <w:bidi w:val="0"/>
              <w:adjustRightInd/>
              <w:snapToGrid/>
              <w:spacing w:line="560" w:lineRule="exact"/>
              <w:ind w:right="62"/>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建国后</w:t>
            </w:r>
          </w:p>
        </w:tc>
        <w:tc>
          <w:tcPr>
            <w:tcW w:w="1716" w:type="dxa"/>
            <w:tcBorders>
              <w:top w:val="single" w:color="auto" w:sz="6" w:space="0"/>
              <w:left w:val="single" w:color="auto" w:sz="6" w:space="0"/>
              <w:bottom w:val="single" w:color="auto" w:sz="4" w:space="0"/>
              <w:right w:val="single" w:color="auto" w:sz="4" w:space="0"/>
            </w:tcBorders>
            <w:noWrap w:val="0"/>
            <w:vAlign w:val="center"/>
          </w:tcPr>
          <w:p w14:paraId="3393BCFB">
            <w:pPr>
              <w:keepNext w:val="0"/>
              <w:keepLines w:val="0"/>
              <w:pageBreakBefore w:val="0"/>
              <w:widowControl/>
              <w:kinsoku/>
              <w:wordWrap/>
              <w:overflowPunct/>
              <w:topLinePunct w:val="0"/>
              <w:autoSpaceDE/>
              <w:autoSpaceDN/>
              <w:bidi w:val="0"/>
              <w:adjustRightInd/>
              <w:snapToGrid/>
              <w:spacing w:line="560" w:lineRule="exact"/>
              <w:ind w:left="60" w:right="62"/>
              <w:jc w:val="center"/>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约7642条</w:t>
            </w:r>
          </w:p>
        </w:tc>
        <w:tc>
          <w:tcPr>
            <w:tcW w:w="1617" w:type="dxa"/>
            <w:tcBorders>
              <w:top w:val="single" w:color="auto" w:sz="6" w:space="0"/>
              <w:left w:val="single" w:color="auto" w:sz="4" w:space="0"/>
              <w:bottom w:val="single" w:color="auto" w:sz="4" w:space="0"/>
              <w:right w:val="single" w:color="auto" w:sz="4" w:space="0"/>
            </w:tcBorders>
            <w:noWrap w:val="0"/>
            <w:vAlign w:val="center"/>
          </w:tcPr>
          <w:p w14:paraId="449BB285">
            <w:pPr>
              <w:keepNext w:val="0"/>
              <w:keepLines w:val="0"/>
              <w:pageBreakBefore w:val="0"/>
              <w:widowControl/>
              <w:kinsoku/>
              <w:wordWrap/>
              <w:overflowPunct/>
              <w:topLinePunct w:val="0"/>
              <w:autoSpaceDE/>
              <w:autoSpaceDN/>
              <w:bidi w:val="0"/>
              <w:adjustRightInd/>
              <w:snapToGrid/>
              <w:spacing w:line="560" w:lineRule="exact"/>
              <w:ind w:right="62"/>
              <w:jc w:val="center"/>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0.</w:t>
            </w:r>
            <w:r>
              <w:rPr>
                <w:rFonts w:hint="eastAsia" w:ascii="仿宋_GB2312" w:hAnsi="仿宋_GB2312" w:eastAsia="仿宋_GB2312" w:cs="仿宋_GB2312"/>
                <w:kern w:val="0"/>
                <w:sz w:val="32"/>
                <w:szCs w:val="32"/>
                <w:lang w:val="en-US" w:eastAsia="zh-CN"/>
              </w:rPr>
              <w:t>65</w:t>
            </w:r>
            <w:r>
              <w:rPr>
                <w:rFonts w:hint="eastAsia" w:ascii="仿宋_GB2312" w:hAnsi="仿宋_GB2312" w:eastAsia="仿宋_GB2312" w:cs="仿宋_GB2312"/>
                <w:kern w:val="0"/>
                <w:sz w:val="32"/>
                <w:szCs w:val="32"/>
              </w:rPr>
              <w:t>元</w:t>
            </w:r>
            <w:r>
              <w:rPr>
                <w:rFonts w:hint="eastAsia" w:ascii="仿宋_GB2312" w:hAnsi="仿宋_GB2312" w:eastAsia="仿宋_GB2312" w:cs="仿宋_GB2312"/>
                <w:kern w:val="0"/>
                <w:sz w:val="32"/>
                <w:szCs w:val="32"/>
                <w:lang w:val="en-US" w:eastAsia="zh-CN"/>
              </w:rPr>
              <w:t>/页</w:t>
            </w:r>
          </w:p>
        </w:tc>
        <w:tc>
          <w:tcPr>
            <w:tcW w:w="1967" w:type="dxa"/>
            <w:tcBorders>
              <w:top w:val="single" w:color="auto" w:sz="6" w:space="0"/>
              <w:left w:val="single" w:color="auto" w:sz="4" w:space="0"/>
              <w:bottom w:val="single" w:color="auto" w:sz="4" w:space="0"/>
              <w:right w:val="single" w:color="auto" w:sz="4" w:space="0"/>
            </w:tcBorders>
            <w:noWrap w:val="0"/>
            <w:vAlign w:val="center"/>
          </w:tcPr>
          <w:p w14:paraId="201DC34E">
            <w:pPr>
              <w:keepNext w:val="0"/>
              <w:keepLines w:val="0"/>
              <w:pageBreakBefore w:val="0"/>
              <w:kinsoku/>
              <w:wordWrap/>
              <w:overflowPunct/>
              <w:topLinePunct w:val="0"/>
              <w:autoSpaceDE/>
              <w:autoSpaceDN/>
              <w:bidi w:val="0"/>
              <w:adjustRightInd/>
              <w:snapToGrid/>
              <w:spacing w:line="560" w:lineRule="exact"/>
              <w:ind w:right="62"/>
              <w:jc w:val="center"/>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kern w:val="0"/>
                <w:sz w:val="32"/>
                <w:szCs w:val="32"/>
                <w:lang w:eastAsia="zh-CN"/>
              </w:rPr>
              <w:t>约</w:t>
            </w:r>
            <w:r>
              <w:rPr>
                <w:rFonts w:hint="eastAsia" w:ascii="仿宋_GB2312" w:hAnsi="仿宋_GB2312" w:eastAsia="仿宋_GB2312" w:cs="仿宋_GB2312"/>
                <w:bCs/>
                <w:sz w:val="32"/>
                <w:szCs w:val="32"/>
                <w:lang w:val="en-US" w:eastAsia="zh-CN"/>
              </w:rPr>
              <w:t>4962</w:t>
            </w:r>
            <w:r>
              <w:rPr>
                <w:rFonts w:hint="eastAsia" w:ascii="仿宋_GB2312" w:hAnsi="仿宋_GB2312" w:eastAsia="仿宋_GB2312" w:cs="仿宋_GB2312"/>
                <w:bCs/>
                <w:sz w:val="32"/>
                <w:szCs w:val="32"/>
                <w:lang w:eastAsia="zh-CN"/>
              </w:rPr>
              <w:t>元</w:t>
            </w:r>
          </w:p>
        </w:tc>
      </w:tr>
      <w:tr w14:paraId="6D6941C7">
        <w:tblPrEx>
          <w:tblCellMar>
            <w:top w:w="0" w:type="dxa"/>
            <w:left w:w="10" w:type="dxa"/>
            <w:bottom w:w="0" w:type="dxa"/>
            <w:right w:w="10" w:type="dxa"/>
          </w:tblCellMar>
        </w:tblPrEx>
        <w:trPr>
          <w:trHeight w:val="465" w:hRule="atLeast"/>
          <w:jc w:val="center"/>
        </w:trPr>
        <w:tc>
          <w:tcPr>
            <w:tcW w:w="780" w:type="dxa"/>
            <w:tcBorders>
              <w:top w:val="single" w:color="auto" w:sz="6" w:space="0"/>
              <w:left w:val="single" w:color="auto" w:sz="6" w:space="0"/>
              <w:right w:val="single" w:color="auto" w:sz="6" w:space="0"/>
            </w:tcBorders>
            <w:noWrap w:val="0"/>
            <w:vAlign w:val="center"/>
          </w:tcPr>
          <w:p w14:paraId="3A71C0DE">
            <w:pPr>
              <w:keepNext w:val="0"/>
              <w:keepLines w:val="0"/>
              <w:pageBreakBefore w:val="0"/>
              <w:widowControl/>
              <w:kinsoku/>
              <w:wordWrap/>
              <w:overflowPunct/>
              <w:topLinePunct w:val="0"/>
              <w:autoSpaceDE/>
              <w:autoSpaceDN/>
              <w:bidi w:val="0"/>
              <w:adjustRightInd/>
              <w:snapToGrid/>
              <w:spacing w:line="560" w:lineRule="exact"/>
              <w:ind w:left="60" w:right="62"/>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w:t>
            </w:r>
          </w:p>
        </w:tc>
        <w:tc>
          <w:tcPr>
            <w:tcW w:w="1410" w:type="dxa"/>
            <w:tcBorders>
              <w:top w:val="single" w:color="auto" w:sz="6" w:space="0"/>
              <w:left w:val="single" w:color="auto" w:sz="6" w:space="0"/>
              <w:right w:val="single" w:color="auto" w:sz="4" w:space="0"/>
            </w:tcBorders>
            <w:noWrap w:val="0"/>
            <w:vAlign w:val="center"/>
          </w:tcPr>
          <w:p w14:paraId="75EBF206">
            <w:pPr>
              <w:keepNext w:val="0"/>
              <w:keepLines w:val="0"/>
              <w:pageBreakBefore w:val="0"/>
              <w:widowControl/>
              <w:kinsoku/>
              <w:wordWrap/>
              <w:overflowPunct/>
              <w:topLinePunct w:val="0"/>
              <w:autoSpaceDE/>
              <w:autoSpaceDN/>
              <w:bidi w:val="0"/>
              <w:adjustRightInd/>
              <w:snapToGrid/>
              <w:spacing w:line="560" w:lineRule="exact"/>
              <w:ind w:left="60" w:right="62"/>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目录著录</w:t>
            </w:r>
          </w:p>
        </w:tc>
        <w:tc>
          <w:tcPr>
            <w:tcW w:w="1339" w:type="dxa"/>
            <w:tcBorders>
              <w:top w:val="single" w:color="auto" w:sz="6" w:space="0"/>
              <w:left w:val="single" w:color="auto" w:sz="4" w:space="0"/>
              <w:bottom w:val="single" w:color="auto" w:sz="4" w:space="0"/>
              <w:right w:val="single" w:color="auto" w:sz="4" w:space="0"/>
            </w:tcBorders>
            <w:noWrap w:val="0"/>
            <w:vAlign w:val="center"/>
          </w:tcPr>
          <w:p w14:paraId="2115F181">
            <w:pPr>
              <w:keepNext w:val="0"/>
              <w:keepLines w:val="0"/>
              <w:pageBreakBefore w:val="0"/>
              <w:widowControl/>
              <w:kinsoku/>
              <w:wordWrap/>
              <w:overflowPunct/>
              <w:topLinePunct w:val="0"/>
              <w:autoSpaceDE/>
              <w:autoSpaceDN/>
              <w:bidi w:val="0"/>
              <w:adjustRightInd/>
              <w:snapToGrid/>
              <w:spacing w:line="560" w:lineRule="exact"/>
              <w:ind w:left="60" w:right="62"/>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建国后</w:t>
            </w:r>
          </w:p>
        </w:tc>
        <w:tc>
          <w:tcPr>
            <w:tcW w:w="1716" w:type="dxa"/>
            <w:tcBorders>
              <w:top w:val="single" w:color="auto" w:sz="4" w:space="0"/>
              <w:left w:val="single" w:color="auto" w:sz="4" w:space="0"/>
              <w:bottom w:val="single" w:color="auto" w:sz="4" w:space="0"/>
              <w:right w:val="single" w:color="auto" w:sz="4" w:space="0"/>
            </w:tcBorders>
            <w:noWrap w:val="0"/>
            <w:vAlign w:val="center"/>
          </w:tcPr>
          <w:p w14:paraId="4B08DA1F">
            <w:pPr>
              <w:keepNext w:val="0"/>
              <w:keepLines w:val="0"/>
              <w:pageBreakBefore w:val="0"/>
              <w:widowControl/>
              <w:kinsoku/>
              <w:wordWrap/>
              <w:overflowPunct/>
              <w:topLinePunct w:val="0"/>
              <w:autoSpaceDE/>
              <w:autoSpaceDN/>
              <w:bidi w:val="0"/>
              <w:adjustRightInd/>
              <w:snapToGrid/>
              <w:spacing w:line="560" w:lineRule="exact"/>
              <w:ind w:left="60" w:right="62"/>
              <w:jc w:val="center"/>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约7642条</w:t>
            </w:r>
          </w:p>
        </w:tc>
        <w:tc>
          <w:tcPr>
            <w:tcW w:w="1617" w:type="dxa"/>
            <w:tcBorders>
              <w:top w:val="single" w:color="auto" w:sz="6" w:space="0"/>
              <w:left w:val="single" w:color="auto" w:sz="4" w:space="0"/>
              <w:bottom w:val="single" w:color="auto" w:sz="4" w:space="0"/>
              <w:right w:val="single" w:color="auto" w:sz="6" w:space="0"/>
            </w:tcBorders>
            <w:noWrap w:val="0"/>
            <w:vAlign w:val="center"/>
          </w:tcPr>
          <w:p w14:paraId="2CA601A1">
            <w:pPr>
              <w:keepNext w:val="0"/>
              <w:keepLines w:val="0"/>
              <w:pageBreakBefore w:val="0"/>
              <w:widowControl/>
              <w:kinsoku/>
              <w:wordWrap/>
              <w:overflowPunct/>
              <w:topLinePunct w:val="0"/>
              <w:autoSpaceDE/>
              <w:autoSpaceDN/>
              <w:bidi w:val="0"/>
              <w:adjustRightInd/>
              <w:snapToGrid/>
              <w:spacing w:line="560" w:lineRule="exact"/>
              <w:ind w:right="62"/>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0.</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5元</w:t>
            </w:r>
            <w:r>
              <w:rPr>
                <w:rFonts w:hint="eastAsia" w:ascii="仿宋_GB2312" w:hAnsi="仿宋_GB2312" w:eastAsia="仿宋_GB2312" w:cs="仿宋_GB2312"/>
                <w:kern w:val="0"/>
                <w:sz w:val="32"/>
                <w:szCs w:val="32"/>
                <w:lang w:val="en-US" w:eastAsia="zh-CN"/>
              </w:rPr>
              <w:t>/条</w:t>
            </w:r>
          </w:p>
        </w:tc>
        <w:tc>
          <w:tcPr>
            <w:tcW w:w="1967" w:type="dxa"/>
            <w:tcBorders>
              <w:top w:val="single" w:color="auto" w:sz="4" w:space="0"/>
              <w:left w:val="single" w:color="auto" w:sz="6" w:space="0"/>
              <w:bottom w:val="single" w:color="auto" w:sz="4" w:space="0"/>
              <w:right w:val="single" w:color="auto" w:sz="4" w:space="0"/>
            </w:tcBorders>
            <w:noWrap w:val="0"/>
            <w:vAlign w:val="center"/>
          </w:tcPr>
          <w:p w14:paraId="3DC400A2">
            <w:pPr>
              <w:keepNext w:val="0"/>
              <w:keepLines w:val="0"/>
              <w:pageBreakBefore w:val="0"/>
              <w:kinsoku/>
              <w:wordWrap/>
              <w:overflowPunct/>
              <w:topLinePunct w:val="0"/>
              <w:autoSpaceDE/>
              <w:autoSpaceDN/>
              <w:bidi w:val="0"/>
              <w:adjustRightInd/>
              <w:snapToGrid/>
              <w:spacing w:line="560" w:lineRule="exact"/>
              <w:ind w:right="62"/>
              <w:jc w:val="center"/>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kern w:val="0"/>
                <w:sz w:val="32"/>
                <w:szCs w:val="32"/>
                <w:lang w:eastAsia="zh-CN"/>
              </w:rPr>
              <w:t>约</w:t>
            </w:r>
            <w:r>
              <w:rPr>
                <w:rFonts w:hint="eastAsia" w:ascii="仿宋_GB2312" w:hAnsi="仿宋_GB2312" w:eastAsia="仿宋_GB2312" w:cs="仿宋_GB2312"/>
                <w:bCs/>
                <w:sz w:val="32"/>
                <w:szCs w:val="32"/>
                <w:lang w:val="en-US" w:eastAsia="zh-CN"/>
              </w:rPr>
              <w:t>4962元</w:t>
            </w:r>
          </w:p>
        </w:tc>
      </w:tr>
      <w:tr w14:paraId="731CE3DC">
        <w:tblPrEx>
          <w:tblCellMar>
            <w:top w:w="0" w:type="dxa"/>
            <w:left w:w="10" w:type="dxa"/>
            <w:bottom w:w="0" w:type="dxa"/>
            <w:right w:w="10" w:type="dxa"/>
          </w:tblCellMar>
        </w:tblPrEx>
        <w:trPr>
          <w:trHeight w:val="630" w:hRule="atLeast"/>
          <w:jc w:val="center"/>
        </w:trPr>
        <w:tc>
          <w:tcPr>
            <w:tcW w:w="6862" w:type="dxa"/>
            <w:gridSpan w:val="5"/>
            <w:tcBorders>
              <w:top w:val="single" w:color="auto" w:sz="4" w:space="0"/>
              <w:left w:val="single" w:color="auto" w:sz="6" w:space="0"/>
              <w:bottom w:val="single" w:color="auto" w:sz="6" w:space="0"/>
              <w:right w:val="single" w:color="auto" w:sz="6" w:space="0"/>
            </w:tcBorders>
            <w:noWrap w:val="0"/>
            <w:vAlign w:val="center"/>
          </w:tcPr>
          <w:p w14:paraId="2CEEE0F6">
            <w:pPr>
              <w:keepNext w:val="0"/>
              <w:keepLines w:val="0"/>
              <w:pageBreakBefore w:val="0"/>
              <w:widowControl w:val="0"/>
              <w:kinsoku/>
              <w:wordWrap/>
              <w:overflowPunct/>
              <w:topLinePunct w:val="0"/>
              <w:autoSpaceDE/>
              <w:autoSpaceDN/>
              <w:bidi w:val="0"/>
              <w:adjustRightInd/>
              <w:snapToGrid/>
              <w:spacing w:line="560" w:lineRule="exact"/>
              <w:ind w:right="62"/>
              <w:jc w:val="center"/>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总计</w:t>
            </w:r>
          </w:p>
        </w:tc>
        <w:tc>
          <w:tcPr>
            <w:tcW w:w="1967" w:type="dxa"/>
            <w:tcBorders>
              <w:top w:val="single" w:color="auto" w:sz="4" w:space="0"/>
              <w:left w:val="single" w:color="auto" w:sz="6" w:space="0"/>
              <w:bottom w:val="single" w:color="auto" w:sz="6" w:space="0"/>
              <w:right w:val="single" w:color="auto" w:sz="4" w:space="0"/>
            </w:tcBorders>
            <w:noWrap w:val="0"/>
            <w:vAlign w:val="center"/>
          </w:tcPr>
          <w:p w14:paraId="4771F97D">
            <w:pPr>
              <w:keepNext w:val="0"/>
              <w:keepLines w:val="0"/>
              <w:pageBreakBefore w:val="0"/>
              <w:widowControl w:val="0"/>
              <w:kinsoku/>
              <w:wordWrap/>
              <w:overflowPunct/>
              <w:topLinePunct w:val="0"/>
              <w:autoSpaceDE/>
              <w:autoSpaceDN/>
              <w:bidi w:val="0"/>
              <w:adjustRightInd/>
              <w:snapToGrid/>
              <w:spacing w:line="560" w:lineRule="exact"/>
              <w:ind w:right="62"/>
              <w:jc w:val="center"/>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eastAsia="zh-CN"/>
              </w:rPr>
              <w:t>约</w:t>
            </w:r>
            <w:r>
              <w:rPr>
                <w:rFonts w:hint="eastAsia" w:ascii="仿宋_GB2312" w:hAnsi="仿宋_GB2312" w:eastAsia="仿宋_GB2312" w:cs="仿宋_GB2312"/>
                <w:kern w:val="0"/>
                <w:sz w:val="32"/>
                <w:szCs w:val="32"/>
                <w:lang w:val="en-US" w:eastAsia="zh-CN"/>
              </w:rPr>
              <w:t>9924元</w:t>
            </w:r>
          </w:p>
        </w:tc>
      </w:tr>
    </w:tbl>
    <w:p w14:paraId="790980E0">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2、服务内容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完成约定数量的纸质档案数字化任务。包含档案</w:t>
      </w:r>
      <w:r>
        <w:rPr>
          <w:rFonts w:hint="eastAsia" w:ascii="仿宋_GB2312" w:hAnsi="仿宋_GB2312" w:eastAsia="仿宋_GB2312" w:cs="仿宋_GB2312"/>
          <w:sz w:val="32"/>
          <w:szCs w:val="32"/>
          <w:lang w:eastAsia="zh-CN"/>
        </w:rPr>
        <w:t>拆件还原、修裱</w:t>
      </w:r>
      <w:r>
        <w:rPr>
          <w:rFonts w:hint="eastAsia" w:ascii="仿宋_GB2312" w:hAnsi="仿宋_GB2312" w:eastAsia="仿宋_GB2312" w:cs="仿宋_GB2312"/>
          <w:sz w:val="32"/>
          <w:szCs w:val="32"/>
        </w:rPr>
        <w:t>、打印案卷封面封底与卷内目录、装卷、装盒、</w:t>
      </w:r>
      <w:r>
        <w:rPr>
          <w:rFonts w:hint="eastAsia" w:ascii="仿宋_GB2312" w:hAnsi="仿宋_GB2312" w:eastAsia="仿宋_GB2312" w:cs="仿宋_GB2312"/>
          <w:sz w:val="32"/>
          <w:szCs w:val="32"/>
          <w:lang w:eastAsia="zh-CN"/>
        </w:rPr>
        <w:t>采购和</w:t>
      </w:r>
      <w:r>
        <w:rPr>
          <w:rFonts w:hint="eastAsia" w:ascii="仿宋_GB2312" w:hAnsi="仿宋_GB2312" w:eastAsia="仿宋_GB2312" w:cs="仿宋_GB2312"/>
          <w:sz w:val="32"/>
          <w:szCs w:val="32"/>
        </w:rPr>
        <w:t>制作数据移交介质</w:t>
      </w:r>
      <w:r>
        <w:rPr>
          <w:rFonts w:hint="eastAsia" w:ascii="仿宋_GB2312" w:hAnsi="仿宋_GB2312" w:eastAsia="仿宋_GB2312" w:cs="仿宋_GB2312"/>
          <w:sz w:val="32"/>
          <w:szCs w:val="32"/>
          <w:lang w:eastAsia="zh-CN"/>
        </w:rPr>
        <w:t>、监控数据导出</w:t>
      </w:r>
      <w:r>
        <w:rPr>
          <w:rFonts w:hint="eastAsia" w:ascii="仿宋_GB2312" w:hAnsi="仿宋_GB2312" w:eastAsia="仿宋_GB2312" w:cs="仿宋_GB2312"/>
          <w:sz w:val="32"/>
          <w:szCs w:val="32"/>
        </w:rPr>
        <w:t>等。</w:t>
      </w:r>
    </w:p>
    <w:p w14:paraId="73C162DD">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3、成果移交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图像数据分别以彩色JPEG、双层PDF两种格式移交，目录数据以XLS格式移交。移交数据载体为优质移动硬盘</w:t>
      </w:r>
      <w:r>
        <w:rPr>
          <w:rFonts w:hint="eastAsia" w:ascii="仿宋_GB2312" w:hAnsi="仿宋_GB2312" w:eastAsia="仿宋_GB2312" w:cs="仿宋_GB2312"/>
          <w:sz w:val="32"/>
          <w:szCs w:val="32"/>
          <w:lang w:eastAsia="zh-CN"/>
        </w:rPr>
        <w:t>，其中数字化成果载体三套、监控录像载体一套</w:t>
      </w:r>
      <w:r>
        <w:rPr>
          <w:rFonts w:hint="eastAsia" w:ascii="仿宋_GB2312" w:hAnsi="仿宋_GB2312" w:eastAsia="仿宋_GB2312" w:cs="仿宋_GB2312"/>
          <w:sz w:val="32"/>
          <w:szCs w:val="32"/>
        </w:rPr>
        <w:t>。</w:t>
      </w:r>
    </w:p>
    <w:p w14:paraId="654E388A">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4、项目报价和结算单位的标准</w:t>
      </w:r>
      <w:r>
        <w:rPr>
          <w:rFonts w:hint="eastAsia" w:ascii="仿宋_GB2312" w:hAnsi="仿宋_GB2312" w:eastAsia="仿宋_GB2312" w:cs="仿宋_GB2312"/>
          <w:sz w:val="32"/>
          <w:szCs w:val="32"/>
          <w:lang w:eastAsia="zh-CN"/>
        </w:rPr>
        <w:t>。</w:t>
      </w:r>
    </w:p>
    <w:p w14:paraId="09F61963">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（1）扫描：以每个画幅进行报价。无论档案纸张大小，以最终形成的与对应的纸质档案页面完全相同的一个图像文件为一个画幅，按实际画幅数量结算；</w:t>
      </w:r>
    </w:p>
    <w:p w14:paraId="19793041">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（2）建目录数据：以条为单位进行报价。按现行档案文件级目录数据库结构和著录细则进行著录、录入，要求进行双机校对，并与捕获的</w:t>
      </w:r>
      <w:r>
        <w:rPr>
          <w:rFonts w:hint="eastAsia" w:ascii="仿宋_GB2312" w:hAnsi="仿宋_GB2312" w:eastAsia="仿宋_GB2312" w:cs="仿宋_GB2312"/>
          <w:sz w:val="32"/>
          <w:szCs w:val="32"/>
          <w:lang w:eastAsia="zh-CN"/>
        </w:rPr>
        <w:t>数字化</w:t>
      </w:r>
      <w:r>
        <w:rPr>
          <w:rFonts w:hint="eastAsia" w:ascii="仿宋_GB2312" w:hAnsi="仿宋_GB2312" w:eastAsia="仿宋_GB2312" w:cs="仿宋_GB2312"/>
          <w:sz w:val="32"/>
          <w:szCs w:val="32"/>
        </w:rPr>
        <w:t>元数据合成元数据库。</w:t>
      </w:r>
    </w:p>
    <w:p w14:paraId="36EE8FCB">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5、技术要求。</w:t>
      </w:r>
    </w:p>
    <w:p w14:paraId="26C461B6">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《档案著录规则》（DA/T 18-</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w:t>
      </w:r>
    </w:p>
    <w:p w14:paraId="3D1B5189">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 w:eastAsia="zh-CN"/>
        </w:rPr>
        <w:t>《归档文件整理规则》（D</w:t>
      </w:r>
      <w:r>
        <w:rPr>
          <w:rFonts w:hint="eastAsia" w:ascii="仿宋_GB2312" w:hAnsi="仿宋_GB2312" w:eastAsia="仿宋_GB2312" w:cs="仿宋_GB2312"/>
          <w:sz w:val="32"/>
          <w:szCs w:val="32"/>
          <w:lang w:val="en-US" w:eastAsia="zh-CN"/>
        </w:rPr>
        <w:t>A</w:t>
      </w:r>
      <w:r>
        <w:rPr>
          <w:rFonts w:hint="eastAsia" w:ascii="仿宋_GB2312" w:hAnsi="仿宋_GB2312" w:eastAsia="仿宋_GB2312" w:cs="仿宋_GB2312"/>
          <w:sz w:val="32"/>
          <w:szCs w:val="32"/>
          <w:lang w:val="en" w:eastAsia="zh-CN"/>
        </w:rPr>
        <w:t>/T</w:t>
      </w:r>
      <w:r>
        <w:rPr>
          <w:rFonts w:hint="eastAsia" w:ascii="仿宋_GB2312" w:hAnsi="仿宋_GB2312" w:eastAsia="仿宋_GB2312" w:cs="仿宋_GB2312"/>
          <w:sz w:val="32"/>
          <w:szCs w:val="32"/>
          <w:lang w:val="en-US" w:eastAsia="zh-CN"/>
        </w:rPr>
        <w:t xml:space="preserve"> 22</w:t>
      </w:r>
      <w:r>
        <w:rPr>
          <w:rFonts w:hint="eastAsia" w:ascii="仿宋_GB2312" w:hAnsi="仿宋_GB2312" w:eastAsia="仿宋_GB2312" w:cs="仿宋_GB2312"/>
          <w:sz w:val="32"/>
          <w:szCs w:val="32"/>
          <w:lang w:val="en" w:eastAsia="zh-CN"/>
        </w:rPr>
        <w:t>—201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val="en" w:eastAsia="zh-CN"/>
        </w:rPr>
        <w:t>）</w:t>
      </w:r>
    </w:p>
    <w:p w14:paraId="5E9444A4">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《纸质档案数字化技术规范》（DA/T31-20</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w:t>
      </w:r>
    </w:p>
    <w:p w14:paraId="454CF10F">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《档案服务外包工作规范第2部分档案数字化服务》（DA/T68.2-2020）</w:t>
      </w:r>
    </w:p>
    <w:p w14:paraId="442FF600">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《江西省</w:t>
      </w:r>
      <w:r>
        <w:rPr>
          <w:rFonts w:hint="eastAsia" w:ascii="仿宋_GB2312" w:hAnsi="仿宋_GB2312" w:eastAsia="仿宋_GB2312" w:cs="仿宋_GB2312"/>
          <w:sz w:val="32"/>
          <w:szCs w:val="32"/>
          <w:lang w:eastAsia="zh-CN"/>
        </w:rPr>
        <w:t>文</w:t>
      </w:r>
      <w:r>
        <w:rPr>
          <w:rFonts w:hint="eastAsia" w:ascii="仿宋_GB2312" w:hAnsi="仿宋_GB2312" w:eastAsia="仿宋_GB2312" w:cs="仿宋_GB2312"/>
          <w:sz w:val="32"/>
          <w:szCs w:val="32"/>
        </w:rPr>
        <w:t>书类电子档案著录与数据格式规范》</w:t>
      </w:r>
    </w:p>
    <w:p w14:paraId="4AEB4C79">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《江西省纸质档案数字化管理与技术规范》</w:t>
      </w:r>
    </w:p>
    <w:p w14:paraId="77EC299C">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《江西省数字档案与数据离线备份介质管理规范》</w:t>
      </w:r>
    </w:p>
    <w:p w14:paraId="122B7B23">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6、商务需求</w:t>
      </w:r>
    </w:p>
    <w:p w14:paraId="5F2F6AD7">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交货地点：</w:t>
      </w:r>
      <w:r>
        <w:rPr>
          <w:rFonts w:hint="eastAsia" w:ascii="仿宋_GB2312" w:hAnsi="仿宋_GB2312" w:eastAsia="仿宋_GB2312" w:cs="仿宋_GB2312"/>
          <w:bCs/>
          <w:sz w:val="32"/>
          <w:szCs w:val="32"/>
        </w:rPr>
        <w:t>采购人指定地点。</w:t>
      </w:r>
    </w:p>
    <w:p w14:paraId="1EE734C2">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lang w:val="en-US" w:eastAsia="zh-CN"/>
        </w:rPr>
        <w:t>2</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交货时间：</w:t>
      </w:r>
      <w:r>
        <w:rPr>
          <w:rFonts w:hint="eastAsia" w:ascii="仿宋_GB2312" w:hAnsi="仿宋_GB2312" w:eastAsia="仿宋_GB2312" w:cs="仿宋_GB2312"/>
          <w:sz w:val="32"/>
          <w:szCs w:val="32"/>
        </w:rPr>
        <w:t>自签订合同</w:t>
      </w:r>
      <w:r>
        <w:rPr>
          <w:rFonts w:hint="eastAsia" w:ascii="仿宋_GB2312" w:hAnsi="仿宋_GB2312" w:eastAsia="仿宋_GB2312" w:cs="仿宋_GB2312"/>
          <w:sz w:val="32"/>
          <w:szCs w:val="32"/>
          <w:lang w:eastAsia="zh-CN"/>
        </w:rPr>
        <w:t>之日起</w:t>
      </w:r>
      <w:r>
        <w:rPr>
          <w:rFonts w:hint="eastAsia" w:ascii="仿宋_GB2312" w:hAnsi="仿宋_GB2312" w:eastAsia="仿宋_GB2312" w:cs="仿宋_GB2312"/>
          <w:sz w:val="32"/>
          <w:szCs w:val="32"/>
        </w:rPr>
        <w:t>至202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月底前完成。</w:t>
      </w:r>
    </w:p>
    <w:p w14:paraId="0CCFFF83">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付款方式：</w:t>
      </w:r>
      <w:r>
        <w:rPr>
          <w:rFonts w:hint="eastAsia" w:ascii="仿宋_GB2312" w:hAnsi="仿宋_GB2312" w:eastAsia="仿宋_GB2312" w:cs="仿宋_GB2312"/>
          <w:b w:val="0"/>
          <w:bCs/>
          <w:sz w:val="32"/>
          <w:szCs w:val="32"/>
        </w:rPr>
        <w:t>合同签订后支付项目总价的10%</w:t>
      </w:r>
      <w:r>
        <w:rPr>
          <w:rFonts w:hint="eastAsia" w:ascii="仿宋_GB2312" w:hAnsi="仿宋_GB2312" w:eastAsia="仿宋_GB2312" w:cs="仿宋_GB2312"/>
          <w:b w:val="0"/>
          <w:bCs/>
          <w:sz w:val="32"/>
          <w:szCs w:val="32"/>
          <w:lang w:eastAsia="zh-CN"/>
        </w:rPr>
        <w:t>为预付款；</w:t>
      </w:r>
      <w:r>
        <w:rPr>
          <w:rFonts w:hint="eastAsia" w:ascii="仿宋_GB2312" w:hAnsi="仿宋_GB2312" w:eastAsia="仿宋_GB2312" w:cs="仿宋_GB2312"/>
          <w:b w:val="0"/>
          <w:bCs/>
          <w:sz w:val="32"/>
          <w:szCs w:val="32"/>
        </w:rPr>
        <w:t>完成先期</w:t>
      </w:r>
      <w:r>
        <w:rPr>
          <w:rFonts w:hint="eastAsia" w:ascii="仿宋_GB2312" w:hAnsi="仿宋_GB2312" w:eastAsia="仿宋_GB2312" w:cs="仿宋_GB2312"/>
          <w:b w:val="0"/>
          <w:bCs/>
          <w:sz w:val="32"/>
          <w:szCs w:val="32"/>
          <w:lang w:eastAsia="zh-CN"/>
        </w:rPr>
        <w:t>估算</w:t>
      </w:r>
      <w:r>
        <w:rPr>
          <w:rFonts w:hint="eastAsia" w:ascii="仿宋_GB2312" w:hAnsi="仿宋_GB2312" w:eastAsia="仿宋_GB2312" w:cs="仿宋_GB2312"/>
          <w:b w:val="0"/>
          <w:bCs/>
          <w:sz w:val="32"/>
          <w:szCs w:val="32"/>
        </w:rPr>
        <w:t>工作量的50%，经初验合格后支付对应部分的服务价款</w:t>
      </w:r>
      <w:r>
        <w:rPr>
          <w:rFonts w:hint="eastAsia" w:ascii="仿宋_GB2312" w:hAnsi="仿宋_GB2312" w:eastAsia="仿宋_GB2312" w:cs="仿宋_GB2312"/>
          <w:sz w:val="32"/>
          <w:szCs w:val="32"/>
        </w:rPr>
        <w:t>（据实际工作量按分项价计算）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sz w:val="32"/>
          <w:szCs w:val="32"/>
        </w:rPr>
        <w:t>完成项目</w:t>
      </w:r>
      <w:r>
        <w:rPr>
          <w:rFonts w:hint="eastAsia" w:ascii="仿宋_GB2312" w:hAnsi="仿宋_GB2312" w:eastAsia="仿宋_GB2312" w:cs="仿宋_GB2312"/>
          <w:b w:val="0"/>
          <w:bCs/>
          <w:sz w:val="32"/>
          <w:szCs w:val="32"/>
          <w:lang w:eastAsia="zh-CN"/>
        </w:rPr>
        <w:t>全部</w:t>
      </w:r>
      <w:r>
        <w:rPr>
          <w:rFonts w:hint="eastAsia" w:ascii="仿宋_GB2312" w:hAnsi="仿宋_GB2312" w:eastAsia="仿宋_GB2312" w:cs="仿宋_GB2312"/>
          <w:b w:val="0"/>
          <w:bCs/>
          <w:sz w:val="32"/>
          <w:szCs w:val="32"/>
        </w:rPr>
        <w:t>的服务内容并整体经验收合格后，支付至服务总价款的100%部分</w:t>
      </w:r>
      <w:r>
        <w:rPr>
          <w:rFonts w:hint="eastAsia" w:ascii="仿宋_GB2312" w:hAnsi="仿宋_GB2312" w:eastAsia="仿宋_GB2312" w:cs="仿宋_GB2312"/>
          <w:sz w:val="32"/>
          <w:szCs w:val="32"/>
        </w:rPr>
        <w:t>（据实际工作量按分项价计算）</w:t>
      </w:r>
      <w:r>
        <w:rPr>
          <w:rFonts w:hint="eastAsia" w:ascii="仿宋_GB2312" w:hAnsi="仿宋_GB2312" w:eastAsia="仿宋_GB2312" w:cs="仿宋_GB2312"/>
          <w:b w:val="0"/>
          <w:bCs/>
          <w:sz w:val="32"/>
          <w:szCs w:val="32"/>
        </w:rPr>
        <w:t>。</w:t>
      </w:r>
      <w:r>
        <w:rPr>
          <w:rFonts w:hint="eastAsia" w:ascii="仿宋_GB2312" w:hAnsi="仿宋_GB2312" w:eastAsia="仿宋_GB2312" w:cs="仿宋_GB2312"/>
          <w:b w:val="0"/>
          <w:bCs/>
          <w:sz w:val="32"/>
          <w:szCs w:val="32"/>
          <w:lang w:eastAsia="zh-CN"/>
        </w:rPr>
        <w:t>以上付款方式均以收到服务供应商提供的等额增值税发票后</w:t>
      </w:r>
      <w:r>
        <w:rPr>
          <w:rFonts w:hint="eastAsia" w:ascii="仿宋_GB2312" w:hAnsi="仿宋_GB2312" w:eastAsia="仿宋_GB2312" w:cs="仿宋_GB2312"/>
          <w:b w:val="0"/>
          <w:bCs/>
          <w:sz w:val="32"/>
          <w:szCs w:val="32"/>
          <w:lang w:val="en-US" w:eastAsia="zh-CN"/>
        </w:rPr>
        <w:t>5个工作日内支付。</w:t>
      </w:r>
    </w:p>
    <w:p w14:paraId="37D4E086">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lang w:val="en-US" w:eastAsia="zh-CN"/>
        </w:rPr>
        <w:t>4</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质保期：</w:t>
      </w:r>
      <w:r>
        <w:rPr>
          <w:rFonts w:hint="eastAsia" w:ascii="仿宋_GB2312" w:hAnsi="仿宋_GB2312" w:eastAsia="仿宋_GB2312" w:cs="仿宋_GB2312"/>
          <w:sz w:val="32"/>
          <w:szCs w:val="32"/>
        </w:rPr>
        <w:t>服务的质量保证期为自服务通过最终验收起2年。</w:t>
      </w:r>
    </w:p>
    <w:p w14:paraId="38D20D56">
      <w:pPr>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val="0"/>
          <w:bCs w:val="0"/>
          <w:sz w:val="32"/>
          <w:szCs w:val="32"/>
          <w:lang w:val="en-US" w:eastAsia="zh-CN"/>
        </w:rPr>
        <w:t xml:space="preserve">    7、</w:t>
      </w:r>
      <w:r>
        <w:rPr>
          <w:rFonts w:hint="eastAsia" w:ascii="仿宋_GB2312" w:hAnsi="仿宋_GB2312" w:eastAsia="仿宋_GB2312" w:cs="仿宋_GB2312"/>
          <w:b w:val="0"/>
          <w:bCs w:val="0"/>
          <w:sz w:val="32"/>
          <w:szCs w:val="32"/>
        </w:rPr>
        <w:t>其他要求：</w:t>
      </w:r>
      <w:r>
        <w:rPr>
          <w:rFonts w:hint="eastAsia" w:ascii="仿宋_GB2312" w:hAnsi="仿宋_GB2312" w:eastAsia="仿宋_GB2312" w:cs="仿宋_GB2312"/>
          <w:b/>
          <w:bCs/>
          <w:sz w:val="32"/>
          <w:szCs w:val="32"/>
        </w:rPr>
        <w:t xml:space="preserve"> </w:t>
      </w:r>
    </w:p>
    <w:p w14:paraId="1E1AB64A">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整个项目工作人员不少于</w:t>
      </w:r>
      <w:r>
        <w:rPr>
          <w:rFonts w:hint="eastAsia" w:ascii="仿宋_GB2312" w:hAnsi="仿宋_GB2312" w:eastAsia="仿宋_GB2312" w:cs="仿宋_GB2312"/>
          <w:sz w:val="32"/>
          <w:szCs w:val="32"/>
          <w:lang w:val="en-US" w:eastAsia="zh-CN"/>
        </w:rPr>
        <w:t>5人。</w:t>
      </w:r>
      <w:r>
        <w:rPr>
          <w:rFonts w:hint="eastAsia" w:ascii="仿宋_GB2312" w:hAnsi="仿宋_GB2312" w:eastAsia="仿宋_GB2312" w:cs="仿宋_GB2312"/>
          <w:sz w:val="32"/>
          <w:szCs w:val="32"/>
        </w:rPr>
        <w:t>项目应派</w:t>
      </w:r>
      <w:r>
        <w:rPr>
          <w:rFonts w:hint="eastAsia" w:ascii="仿宋_GB2312" w:hAnsi="仿宋_GB2312" w:eastAsia="仿宋_GB2312" w:cs="仿宋_GB2312"/>
          <w:sz w:val="32"/>
          <w:szCs w:val="32"/>
          <w:lang w:eastAsia="zh-CN"/>
        </w:rPr>
        <w:t>具有</w:t>
      </w:r>
      <w:r>
        <w:rPr>
          <w:rFonts w:hint="eastAsia" w:ascii="仿宋_GB2312" w:hAnsi="仿宋_GB2312" w:eastAsia="仿宋_GB2312" w:cs="仿宋_GB2312"/>
          <w:sz w:val="32"/>
          <w:szCs w:val="32"/>
        </w:rPr>
        <w:t>档案数字化工作经验的专人1名全程负责本项目。在项目实施过程中，项目负责人每周驻场不少于3天，项目质量管理员须每天驻场负责质量检查。成交供应商承诺的工作人员不得随意更换，如需更换必须经</w:t>
      </w:r>
      <w:r>
        <w:rPr>
          <w:rFonts w:hint="eastAsia" w:ascii="仿宋_GB2312" w:hAnsi="仿宋_GB2312" w:eastAsia="仿宋_GB2312" w:cs="仿宋_GB2312"/>
          <w:sz w:val="32"/>
          <w:szCs w:val="32"/>
          <w:lang w:val="en-US" w:eastAsia="zh-CN"/>
        </w:rPr>
        <w:t>赣南医科大学第三附属医院</w:t>
      </w:r>
      <w:r>
        <w:rPr>
          <w:rFonts w:hint="eastAsia" w:ascii="仿宋_GB2312" w:hAnsi="仿宋_GB2312" w:eastAsia="仿宋_GB2312" w:cs="仿宋_GB2312"/>
          <w:sz w:val="32"/>
          <w:szCs w:val="32"/>
        </w:rPr>
        <w:t>同意，若未经同意，按违约处理。</w:t>
      </w:r>
    </w:p>
    <w:p w14:paraId="332BD1BF">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（2）成交供应商须自带设备，</w:t>
      </w:r>
      <w:r>
        <w:rPr>
          <w:rFonts w:hint="eastAsia" w:ascii="仿宋_GB2312" w:hAnsi="仿宋_GB2312" w:eastAsia="仿宋_GB2312" w:cs="仿宋_GB2312"/>
          <w:sz w:val="32"/>
          <w:szCs w:val="32"/>
          <w:lang w:eastAsia="zh-CN"/>
        </w:rPr>
        <w:t>其中电脑主机应配备带锁铁皮箱，</w:t>
      </w:r>
      <w:r>
        <w:rPr>
          <w:rFonts w:hint="eastAsia" w:ascii="仿宋_GB2312" w:hAnsi="仿宋_GB2312" w:eastAsia="仿宋_GB2312" w:cs="仿宋_GB2312"/>
          <w:sz w:val="32"/>
          <w:szCs w:val="32"/>
        </w:rPr>
        <w:t>设备的进出须经</w:t>
      </w:r>
      <w:r>
        <w:rPr>
          <w:rFonts w:hint="eastAsia" w:ascii="仿宋_GB2312" w:hAnsi="仿宋_GB2312" w:eastAsia="仿宋_GB2312" w:cs="仿宋_GB2312"/>
          <w:sz w:val="32"/>
          <w:szCs w:val="32"/>
          <w:lang w:eastAsia="zh-CN"/>
        </w:rPr>
        <w:t>赣南医科大学第三附属医院</w:t>
      </w:r>
      <w:r>
        <w:rPr>
          <w:rFonts w:hint="eastAsia" w:ascii="仿宋_GB2312" w:hAnsi="仿宋_GB2312" w:eastAsia="仿宋_GB2312" w:cs="仿宋_GB2312"/>
          <w:sz w:val="32"/>
          <w:szCs w:val="32"/>
        </w:rPr>
        <w:t>同意，并负责设备的正常维护、搬运、档案上架下架工作，</w:t>
      </w:r>
      <w:r>
        <w:rPr>
          <w:rFonts w:hint="eastAsia" w:ascii="仿宋_GB2312" w:hAnsi="仿宋_GB2312" w:eastAsia="仿宋_GB2312" w:cs="仿宋_GB2312"/>
          <w:sz w:val="32"/>
          <w:szCs w:val="32"/>
          <w:lang w:eastAsia="zh-CN"/>
        </w:rPr>
        <w:t>档案出入库</w:t>
      </w:r>
      <w:r>
        <w:rPr>
          <w:rFonts w:hint="eastAsia" w:ascii="仿宋_GB2312" w:hAnsi="仿宋_GB2312" w:eastAsia="仿宋_GB2312" w:cs="仿宋_GB2312"/>
          <w:sz w:val="32"/>
          <w:szCs w:val="32"/>
        </w:rPr>
        <w:t>在</w:t>
      </w:r>
      <w:r>
        <w:rPr>
          <w:rFonts w:hint="eastAsia" w:ascii="仿宋_GB2312" w:hAnsi="仿宋_GB2312" w:eastAsia="仿宋_GB2312" w:cs="仿宋_GB2312"/>
          <w:sz w:val="32"/>
          <w:szCs w:val="32"/>
          <w:lang w:eastAsia="zh-CN"/>
        </w:rPr>
        <w:t>赣南医科大学第三附属医院工作人员</w:t>
      </w:r>
      <w:r>
        <w:rPr>
          <w:rFonts w:hint="eastAsia" w:ascii="仿宋_GB2312" w:hAnsi="仿宋_GB2312" w:eastAsia="仿宋_GB2312" w:cs="仿宋_GB2312"/>
          <w:sz w:val="32"/>
          <w:szCs w:val="32"/>
        </w:rPr>
        <w:t>的监督下由成交供应商负责搬运工作。</w:t>
      </w:r>
    </w:p>
    <w:p w14:paraId="25CC92F6">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（3）成交供应商应建立详细的操作与质量控制措施，项目总体验收差错率控制</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5%以内为合格。在日常服务检查中，当日抽查差错在5条（项）以内的，需当天完成整改，当日抽查差错在5条（项）以上的，每条（项）扣5元并需当天完成整改。阶段性验收中由</w:t>
      </w:r>
      <w:r>
        <w:rPr>
          <w:rFonts w:hint="eastAsia" w:ascii="仿宋_GB2312" w:hAnsi="仿宋_GB2312" w:eastAsia="仿宋_GB2312" w:cs="仿宋_GB2312"/>
          <w:sz w:val="32"/>
          <w:szCs w:val="32"/>
          <w:lang w:eastAsia="zh-CN"/>
        </w:rPr>
        <w:t>赣南医科大学第三附属医院</w:t>
      </w:r>
      <w:r>
        <w:rPr>
          <w:rFonts w:hint="eastAsia" w:ascii="仿宋_GB2312" w:hAnsi="仿宋_GB2312" w:eastAsia="仿宋_GB2312" w:cs="仿宋_GB2312"/>
          <w:sz w:val="32"/>
          <w:szCs w:val="32"/>
          <w:lang w:val="en-US" w:eastAsia="zh-CN"/>
        </w:rPr>
        <w:t>工作人员</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eastAsia="zh-CN"/>
        </w:rPr>
        <w:t>服务供应商</w:t>
      </w:r>
      <w:r>
        <w:rPr>
          <w:rFonts w:hint="eastAsia" w:ascii="仿宋_GB2312" w:hAnsi="仿宋_GB2312" w:eastAsia="仿宋_GB2312" w:cs="仿宋_GB2312"/>
          <w:sz w:val="32"/>
          <w:szCs w:val="32"/>
        </w:rPr>
        <w:t>提交的数据进行质量检查，发现不合格的情况将按每条差错5元的标准对</w:t>
      </w:r>
      <w:r>
        <w:rPr>
          <w:rFonts w:hint="eastAsia" w:ascii="仿宋_GB2312" w:hAnsi="仿宋_GB2312" w:eastAsia="仿宋_GB2312" w:cs="仿宋_GB2312"/>
          <w:sz w:val="32"/>
          <w:szCs w:val="32"/>
          <w:lang w:eastAsia="zh-CN"/>
        </w:rPr>
        <w:t>服务供应商</w:t>
      </w:r>
      <w:r>
        <w:rPr>
          <w:rFonts w:hint="eastAsia" w:ascii="仿宋_GB2312" w:hAnsi="仿宋_GB2312" w:eastAsia="仿宋_GB2312" w:cs="仿宋_GB2312"/>
          <w:sz w:val="32"/>
          <w:szCs w:val="32"/>
        </w:rPr>
        <w:t>进行处罚，</w:t>
      </w:r>
      <w:r>
        <w:rPr>
          <w:rFonts w:hint="eastAsia" w:ascii="仿宋_GB2312" w:hAnsi="仿宋_GB2312" w:eastAsia="仿宋_GB2312" w:cs="仿宋_GB2312"/>
          <w:sz w:val="32"/>
          <w:szCs w:val="32"/>
          <w:lang w:eastAsia="zh-CN"/>
        </w:rPr>
        <w:t>整改完成后为合格</w:t>
      </w:r>
      <w:r>
        <w:rPr>
          <w:rFonts w:hint="eastAsia" w:ascii="仿宋_GB2312" w:hAnsi="仿宋_GB2312" w:eastAsia="仿宋_GB2312" w:cs="仿宋_GB2312"/>
          <w:sz w:val="32"/>
          <w:szCs w:val="32"/>
        </w:rPr>
        <w:t>。</w:t>
      </w:r>
    </w:p>
    <w:p w14:paraId="34E9B528">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服务供应商应提供有关资质条件证明材料或书面承诺具有独立承担民事责任的能力、良好的商业信誉和健全的财务会计制度、履行服务所必须的设备和专业技术能力、依法缴纳税收和社会保障资金的良好记录、在经营活动中没有重大违法记录（参加采购前三年内）、未被</w:t>
      </w:r>
      <w:r>
        <w:rPr>
          <w:rFonts w:hint="eastAsia" w:ascii="仿宋_GB2312" w:hAnsi="仿宋_GB2312" w:eastAsia="仿宋_GB2312" w:cs="仿宋_GB2312"/>
          <w:sz w:val="32"/>
          <w:szCs w:val="32"/>
        </w:rPr>
        <w:t>列入政府采购严重违法失信行为记录名单（处罚期限尚未届满的）</w:t>
      </w:r>
      <w:r>
        <w:rPr>
          <w:rFonts w:hint="eastAsia" w:ascii="仿宋_GB2312" w:hAnsi="仿宋_GB2312" w:eastAsia="仿宋_GB2312" w:cs="仿宋_GB2312"/>
          <w:sz w:val="32"/>
          <w:szCs w:val="32"/>
          <w:lang w:eastAsia="zh-CN"/>
        </w:rPr>
        <w:t>，若发现承诺事项不实，按违约处理。</w:t>
      </w:r>
    </w:p>
    <w:p w14:paraId="0DBF0F51">
      <w:pPr>
        <w:pStyle w:val="2"/>
        <w:rPr>
          <w:rFonts w:hint="eastAsia" w:ascii="仿宋_GB2312" w:hAnsi="仿宋_GB2312" w:eastAsia="仿宋_GB2312" w:cs="仿宋_GB2312"/>
          <w:sz w:val="32"/>
          <w:szCs w:val="32"/>
          <w:lang w:val="en-US" w:eastAsia="zh-CN"/>
        </w:rPr>
      </w:pPr>
    </w:p>
    <w:p w14:paraId="4B60B35D">
      <w:pPr>
        <w:rPr>
          <w:rFonts w:hint="default"/>
          <w:lang w:val="en-US" w:eastAsia="zh-CN"/>
        </w:rPr>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091204D-1DDF-47B8-8C73-83E5C3A7579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01218883-8560-43A3-9F8C-BD29151481B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3" w:fontKey="{CDFBEAA4-9E43-4027-9BE6-CFD708B7C47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97934">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E3F6C1">
                          <w:pPr>
                            <w:pStyle w:val="3"/>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4E3F6C1">
                    <w:pPr>
                      <w:pStyle w:val="3"/>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8515B"/>
    <w:rsid w:val="05EE467B"/>
    <w:rsid w:val="061834A6"/>
    <w:rsid w:val="07375B4C"/>
    <w:rsid w:val="09D03E3E"/>
    <w:rsid w:val="0B9E444D"/>
    <w:rsid w:val="13CA6026"/>
    <w:rsid w:val="18475E6C"/>
    <w:rsid w:val="1C2C7853"/>
    <w:rsid w:val="1C7D00AF"/>
    <w:rsid w:val="22714212"/>
    <w:rsid w:val="29CE03A5"/>
    <w:rsid w:val="37C02920"/>
    <w:rsid w:val="3E69035E"/>
    <w:rsid w:val="4A4756D4"/>
    <w:rsid w:val="4DE74B53"/>
    <w:rsid w:val="55AA2FBB"/>
    <w:rsid w:val="55CB540B"/>
    <w:rsid w:val="55E44545"/>
    <w:rsid w:val="654C36C9"/>
    <w:rsid w:val="661A1A97"/>
    <w:rsid w:val="6C7A3290"/>
    <w:rsid w:val="73C72E79"/>
    <w:rsid w:val="74E920C5"/>
    <w:rsid w:val="75C94940"/>
    <w:rsid w:val="7D4476CE"/>
    <w:rsid w:val="7E1058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1895</Words>
  <Characters>1988</Characters>
  <Lines>0</Lines>
  <Paragraphs>0</Paragraphs>
  <TotalTime>0</TotalTime>
  <ScaleCrop>false</ScaleCrop>
  <LinksUpToDate>false</LinksUpToDate>
  <CharactersWithSpaces>1997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2026-07-24T03:27:00Z</dcterms:created>
  <dc:creator>Administrator</dc:creator>
  <cp:lastModifiedBy>南方天</cp:lastModifiedBy>
  <dcterms:modified xsi:type="dcterms:W3CDTF">2026-08-14T08:03:36Z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eyJoZGlkIjoiZWRiZTA0OWJjZjFhNTA3MjAxZjQ5YjM3MjgzZDM5OTgiLCJ1c2VySWQiOiIzMTYyODU1OTQifQ==</vt:lpwstr>
  </property>
  <property fmtid="{D5CDD505-2E9C-101B-9397-08002B2CF9AE}" pid="4" name="ICV">
    <vt:lpwstr>D5AC386BEB4148B097DFADE4D1604636_12</vt:lpwstr>
  </property>
</Properties>
</file>