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7C06CD">
      <w:pPr>
        <w:pStyle w:val="4"/>
        <w:keepNext w:val="0"/>
        <w:keepLines w:val="0"/>
        <w:pageBreakBefore w:val="0"/>
        <w:widowControl/>
        <w:kinsoku w:val="0"/>
        <w:wordWrap/>
        <w:overflowPunct/>
        <w:topLinePunct w:val="0"/>
        <w:autoSpaceDE w:val="0"/>
        <w:autoSpaceDN w:val="0"/>
        <w:bidi w:val="0"/>
        <w:adjustRightInd w:val="0"/>
        <w:snapToGrid w:val="0"/>
        <w:spacing w:line="500" w:lineRule="exact"/>
        <w:ind w:right="108"/>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附件：</w:t>
      </w:r>
    </w:p>
    <w:p w14:paraId="4BFE202E">
      <w:pPr>
        <w:pStyle w:val="4"/>
        <w:keepNext w:val="0"/>
        <w:keepLines w:val="0"/>
        <w:pageBreakBefore w:val="0"/>
        <w:widowControl/>
        <w:numPr>
          <w:ilvl w:val="0"/>
          <w:numId w:val="1"/>
        </w:numPr>
        <w:kinsoku w:val="0"/>
        <w:wordWrap/>
        <w:overflowPunct/>
        <w:topLinePunct w:val="0"/>
        <w:autoSpaceDE w:val="0"/>
        <w:autoSpaceDN w:val="0"/>
        <w:bidi w:val="0"/>
        <w:adjustRightInd w:val="0"/>
        <w:snapToGrid w:val="0"/>
        <w:spacing w:line="520" w:lineRule="exact"/>
        <w:ind w:right="0"/>
        <w:jc w:val="both"/>
        <w:textAlignment w:val="baseline"/>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3"/>
          <w:sz w:val="32"/>
          <w:szCs w:val="32"/>
        </w:rPr>
        <w:t>设备作用：是种植牙手术核心动力操作器械，全程负责牙槽骨备</w:t>
      </w:r>
      <w:r>
        <w:rPr>
          <w:rFonts w:hint="eastAsia" w:ascii="仿宋_GB2312" w:hAnsi="仿宋_GB2312" w:eastAsia="仿宋_GB2312" w:cs="仿宋_GB2312"/>
          <w:spacing w:val="7"/>
          <w:sz w:val="32"/>
          <w:szCs w:val="32"/>
        </w:rPr>
        <w:t>洞、种植体植入、</w:t>
      </w:r>
      <w:r>
        <w:rPr>
          <w:rFonts w:hint="eastAsia" w:ascii="仿宋_GB2312" w:hAnsi="仿宋_GB2312" w:eastAsia="仿宋_GB2312" w:cs="仿宋_GB2312"/>
          <w:spacing w:val="-65"/>
          <w:sz w:val="32"/>
          <w:szCs w:val="32"/>
        </w:rPr>
        <w:t xml:space="preserve"> </w:t>
      </w:r>
      <w:r>
        <w:rPr>
          <w:rFonts w:hint="eastAsia" w:ascii="仿宋_GB2312" w:hAnsi="仿宋_GB2312" w:eastAsia="仿宋_GB2312" w:cs="仿宋_GB2312"/>
          <w:spacing w:val="7"/>
          <w:sz w:val="32"/>
          <w:szCs w:val="32"/>
        </w:rPr>
        <w:t>骨修整等外科操作，</w:t>
      </w:r>
      <w:r>
        <w:rPr>
          <w:rFonts w:hint="eastAsia" w:ascii="仿宋_GB2312" w:hAnsi="仿宋_GB2312" w:eastAsia="仿宋_GB2312" w:cs="仿宋_GB2312"/>
          <w:spacing w:val="-65"/>
          <w:sz w:val="32"/>
          <w:szCs w:val="32"/>
        </w:rPr>
        <w:t xml:space="preserve"> </w:t>
      </w:r>
      <w:r>
        <w:rPr>
          <w:rFonts w:hint="eastAsia" w:ascii="仿宋_GB2312" w:hAnsi="仿宋_GB2312" w:eastAsia="仿宋_GB2312" w:cs="仿宋_GB2312"/>
          <w:spacing w:val="7"/>
          <w:sz w:val="32"/>
          <w:szCs w:val="32"/>
        </w:rPr>
        <w:t>适配单颗、</w:t>
      </w:r>
      <w:r>
        <w:rPr>
          <w:rFonts w:hint="eastAsia" w:ascii="仿宋_GB2312" w:hAnsi="仿宋_GB2312" w:eastAsia="仿宋_GB2312" w:cs="仿宋_GB2312"/>
          <w:spacing w:val="-72"/>
          <w:sz w:val="32"/>
          <w:szCs w:val="32"/>
        </w:rPr>
        <w:t xml:space="preserve"> </w:t>
      </w:r>
      <w:r>
        <w:rPr>
          <w:rFonts w:hint="eastAsia" w:ascii="仿宋_GB2312" w:hAnsi="仿宋_GB2312" w:eastAsia="仿宋_GB2312" w:cs="仿宋_GB2312"/>
          <w:spacing w:val="7"/>
          <w:sz w:val="32"/>
          <w:szCs w:val="32"/>
        </w:rPr>
        <w:t>多颗、全口即刻</w:t>
      </w:r>
      <w:r>
        <w:rPr>
          <w:rFonts w:hint="eastAsia" w:ascii="仿宋_GB2312" w:hAnsi="仿宋_GB2312" w:eastAsia="仿宋_GB2312" w:cs="仿宋_GB2312"/>
          <w:spacing w:val="8"/>
          <w:sz w:val="32"/>
          <w:szCs w:val="32"/>
        </w:rPr>
        <w:t>负重、上颌窦提升等各类种植手术。</w:t>
      </w:r>
    </w:p>
    <w:p w14:paraId="46976CE8">
      <w:pPr>
        <w:pStyle w:val="4"/>
        <w:keepNext w:val="0"/>
        <w:keepLines w:val="0"/>
        <w:pageBreakBefore w:val="0"/>
        <w:widowControl/>
        <w:numPr>
          <w:ilvl w:val="0"/>
          <w:numId w:val="0"/>
        </w:numPr>
        <w:kinsoku w:val="0"/>
        <w:wordWrap/>
        <w:overflowPunct/>
        <w:topLinePunct w:val="0"/>
        <w:autoSpaceDE w:val="0"/>
        <w:autoSpaceDN w:val="0"/>
        <w:bidi w:val="0"/>
        <w:adjustRightInd w:val="0"/>
        <w:snapToGrid w:val="0"/>
        <w:spacing w:line="520" w:lineRule="exact"/>
        <w:ind w:right="0" w:rightChars="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4"/>
          <w:position w:val="-1"/>
          <w:sz w:val="32"/>
          <w:szCs w:val="32"/>
        </w:rPr>
        <w:t>二</w:t>
      </w:r>
      <w:r>
        <w:rPr>
          <w:rFonts w:hint="eastAsia" w:ascii="仿宋_GB2312" w:hAnsi="仿宋_GB2312" w:eastAsia="仿宋_GB2312" w:cs="仿宋_GB2312"/>
          <w:spacing w:val="4"/>
          <w:position w:val="-1"/>
          <w:sz w:val="32"/>
          <w:szCs w:val="32"/>
          <w:lang w:eastAsia="zh-CN"/>
        </w:rPr>
        <w:t>、</w:t>
      </w:r>
      <w:r>
        <w:rPr>
          <w:rFonts w:hint="eastAsia" w:ascii="仿宋_GB2312" w:hAnsi="仿宋_GB2312" w:eastAsia="仿宋_GB2312" w:cs="仿宋_GB2312"/>
          <w:spacing w:val="4"/>
          <w:position w:val="-1"/>
          <w:sz w:val="32"/>
          <w:szCs w:val="32"/>
        </w:rPr>
        <w:t>功能简介</w:t>
      </w:r>
    </w:p>
    <w:p w14:paraId="40EA4BC7">
      <w:pPr>
        <w:pStyle w:val="4"/>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32"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2"/>
          <w:position w:val="-4"/>
          <w:sz w:val="32"/>
          <w:szCs w:val="32"/>
        </w:rPr>
        <w:t>1.牙槽骨逐级备洞（最基础用途</w:t>
      </w:r>
      <w:r>
        <w:rPr>
          <w:rFonts w:hint="eastAsia" w:ascii="仿宋_GB2312" w:hAnsi="仿宋_GB2312" w:eastAsia="仿宋_GB2312" w:cs="仿宋_GB2312"/>
          <w:spacing w:val="-18"/>
          <w:position w:val="-4"/>
          <w:sz w:val="32"/>
          <w:szCs w:val="32"/>
        </w:rPr>
        <w:t>）：</w:t>
      </w:r>
      <w:r>
        <w:rPr>
          <w:rFonts w:hint="eastAsia" w:ascii="仿宋_GB2312" w:hAnsi="仿宋_GB2312" w:eastAsia="仿宋_GB2312" w:cs="仿宋_GB2312"/>
          <w:spacing w:val="-2"/>
          <w:position w:val="-4"/>
          <w:sz w:val="32"/>
          <w:szCs w:val="32"/>
        </w:rPr>
        <w:t>搭载1:1/16:</w:t>
      </w:r>
      <w:r>
        <w:rPr>
          <w:rFonts w:hint="eastAsia" w:ascii="仿宋_GB2312" w:hAnsi="仿宋_GB2312" w:eastAsia="仿宋_GB2312" w:cs="仿宋_GB2312"/>
          <w:spacing w:val="-3"/>
          <w:position w:val="-4"/>
          <w:sz w:val="32"/>
          <w:szCs w:val="32"/>
        </w:rPr>
        <w:t>1/20:1/27:1多</w:t>
      </w:r>
      <w:r>
        <w:rPr>
          <w:rFonts w:hint="eastAsia" w:ascii="仿宋_GB2312" w:hAnsi="仿宋_GB2312" w:eastAsia="仿宋_GB2312" w:cs="仿宋_GB2312"/>
          <w:spacing w:val="-1"/>
          <w:position w:val="-2"/>
          <w:sz w:val="32"/>
          <w:szCs w:val="32"/>
        </w:rPr>
        <w:t>减速比齿轮，</w:t>
      </w:r>
      <w:r>
        <w:rPr>
          <w:rFonts w:hint="eastAsia" w:ascii="仿宋_GB2312" w:hAnsi="仿宋_GB2312" w:eastAsia="仿宋_GB2312" w:cs="仿宋_GB2312"/>
          <w:spacing w:val="-69"/>
          <w:position w:val="-2"/>
          <w:sz w:val="32"/>
          <w:szCs w:val="32"/>
        </w:rPr>
        <w:t xml:space="preserve"> </w:t>
      </w:r>
      <w:r>
        <w:rPr>
          <w:rFonts w:hint="eastAsia" w:ascii="仿宋_GB2312" w:hAnsi="仿宋_GB2312" w:eastAsia="仿宋_GB2312" w:cs="仿宋_GB2312"/>
          <w:spacing w:val="-1"/>
          <w:position w:val="-2"/>
          <w:sz w:val="32"/>
          <w:szCs w:val="32"/>
        </w:rPr>
        <w:t>低速大扭矩输出（15–2000rpm</w:t>
      </w:r>
      <w:r>
        <w:rPr>
          <w:rFonts w:hint="eastAsia" w:ascii="仿宋_GB2312" w:hAnsi="仿宋_GB2312" w:eastAsia="仿宋_GB2312" w:cs="仿宋_GB2312"/>
          <w:spacing w:val="4"/>
          <w:position w:val="-2"/>
          <w:sz w:val="32"/>
          <w:szCs w:val="32"/>
        </w:rPr>
        <w:t>），</w:t>
      </w:r>
      <w:r>
        <w:rPr>
          <w:rFonts w:hint="eastAsia" w:ascii="仿宋_GB2312" w:hAnsi="仿宋_GB2312" w:eastAsia="仿宋_GB2312" w:cs="仿宋_GB2312"/>
          <w:spacing w:val="-59"/>
          <w:position w:val="-2"/>
          <w:sz w:val="32"/>
          <w:szCs w:val="32"/>
        </w:rPr>
        <w:t xml:space="preserve"> </w:t>
      </w:r>
      <w:r>
        <w:rPr>
          <w:rFonts w:hint="eastAsia" w:ascii="仿宋_GB2312" w:hAnsi="仿宋_GB2312" w:eastAsia="仿宋_GB2312" w:cs="仿宋_GB2312"/>
          <w:spacing w:val="-2"/>
          <w:position w:val="-2"/>
          <w:sz w:val="32"/>
          <w:szCs w:val="32"/>
        </w:rPr>
        <w:t>夹持种植先锋钻、</w:t>
      </w:r>
      <w:r>
        <w:rPr>
          <w:rFonts w:hint="eastAsia" w:ascii="仿宋_GB2312" w:hAnsi="仿宋_GB2312" w:eastAsia="仿宋_GB2312" w:cs="仿宋_GB2312"/>
          <w:spacing w:val="8"/>
          <w:position w:val="-5"/>
          <w:sz w:val="32"/>
          <w:szCs w:val="32"/>
        </w:rPr>
        <w:t>扩孔钻、成型钻，</w:t>
      </w:r>
      <w:r>
        <w:rPr>
          <w:rFonts w:hint="eastAsia" w:ascii="仿宋_GB2312" w:hAnsi="仿宋_GB2312" w:eastAsia="仿宋_GB2312" w:cs="仿宋_GB2312"/>
          <w:spacing w:val="-61"/>
          <w:position w:val="-5"/>
          <w:sz w:val="32"/>
          <w:szCs w:val="32"/>
        </w:rPr>
        <w:t xml:space="preserve"> </w:t>
      </w:r>
      <w:r>
        <w:rPr>
          <w:rFonts w:hint="eastAsia" w:ascii="仿宋_GB2312" w:hAnsi="仿宋_GB2312" w:eastAsia="仿宋_GB2312" w:cs="仿宋_GB2312"/>
          <w:spacing w:val="8"/>
          <w:position w:val="-5"/>
          <w:sz w:val="32"/>
          <w:szCs w:val="32"/>
        </w:rPr>
        <w:t>逐层切削牙槽骨，</w:t>
      </w:r>
      <w:r>
        <w:rPr>
          <w:rFonts w:hint="eastAsia" w:ascii="仿宋_GB2312" w:hAnsi="仿宋_GB2312" w:eastAsia="仿宋_GB2312" w:cs="仿宋_GB2312"/>
          <w:spacing w:val="-70"/>
          <w:position w:val="-5"/>
          <w:sz w:val="32"/>
          <w:szCs w:val="32"/>
        </w:rPr>
        <w:t xml:space="preserve"> </w:t>
      </w:r>
      <w:r>
        <w:rPr>
          <w:rFonts w:hint="eastAsia" w:ascii="仿宋_GB2312" w:hAnsi="仿宋_GB2312" w:eastAsia="仿宋_GB2312" w:cs="仿宋_GB2312"/>
          <w:spacing w:val="8"/>
          <w:position w:val="-5"/>
          <w:sz w:val="32"/>
          <w:szCs w:val="32"/>
        </w:rPr>
        <w:t>精准制备适配种</w:t>
      </w:r>
      <w:r>
        <w:rPr>
          <w:rFonts w:hint="eastAsia" w:ascii="仿宋_GB2312" w:hAnsi="仿宋_GB2312" w:eastAsia="仿宋_GB2312" w:cs="仿宋_GB2312"/>
          <w:spacing w:val="7"/>
          <w:position w:val="-5"/>
          <w:sz w:val="32"/>
          <w:szCs w:val="32"/>
        </w:rPr>
        <w:t>植体型号的种</w:t>
      </w:r>
      <w:r>
        <w:rPr>
          <w:rFonts w:hint="eastAsia" w:ascii="仿宋_GB2312" w:hAnsi="仿宋_GB2312" w:eastAsia="仿宋_GB2312" w:cs="仿宋_GB2312"/>
          <w:spacing w:val="3"/>
          <w:position w:val="-3"/>
          <w:sz w:val="32"/>
          <w:szCs w:val="32"/>
        </w:rPr>
        <w:t>植窝洞；20:1</w:t>
      </w:r>
      <w:r>
        <w:rPr>
          <w:rFonts w:hint="eastAsia" w:ascii="仿宋_GB2312" w:hAnsi="仿宋_GB2312" w:eastAsia="仿宋_GB2312" w:cs="仿宋_GB2312"/>
          <w:spacing w:val="97"/>
          <w:position w:val="-3"/>
          <w:sz w:val="32"/>
          <w:szCs w:val="32"/>
        </w:rPr>
        <w:t xml:space="preserve"> </w:t>
      </w:r>
      <w:r>
        <w:rPr>
          <w:rFonts w:hint="eastAsia" w:ascii="仿宋_GB2312" w:hAnsi="仿宋_GB2312" w:eastAsia="仿宋_GB2312" w:cs="仿宋_GB2312"/>
          <w:spacing w:val="3"/>
          <w:position w:val="-3"/>
          <w:sz w:val="32"/>
          <w:szCs w:val="32"/>
        </w:rPr>
        <w:t>标准减速机头扭力充足，软硬骨都能平稳切削，避免</w:t>
      </w:r>
      <w:r>
        <w:rPr>
          <w:rFonts w:hint="eastAsia" w:ascii="仿宋_GB2312" w:hAnsi="仿宋_GB2312" w:eastAsia="仿宋_GB2312" w:cs="仿宋_GB2312"/>
          <w:spacing w:val="8"/>
          <w:position w:val="-3"/>
          <w:sz w:val="32"/>
          <w:szCs w:val="32"/>
        </w:rPr>
        <w:t>骨劈裂、骨损伤</w:t>
      </w:r>
      <w:r>
        <w:rPr>
          <w:rFonts w:hint="eastAsia" w:ascii="仿宋_GB2312" w:hAnsi="仿宋_GB2312" w:eastAsia="仿宋_GB2312" w:cs="仿宋_GB2312"/>
          <w:spacing w:val="8"/>
          <w:position w:val="-3"/>
          <w:sz w:val="32"/>
          <w:szCs w:val="32"/>
          <w:lang w:eastAsia="zh-CN"/>
        </w:rPr>
        <w:t>。</w:t>
      </w:r>
    </w:p>
    <w:p w14:paraId="66515B83">
      <w:pPr>
        <w:pStyle w:val="4"/>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28" w:firstLineChars="200"/>
        <w:textAlignment w:val="baseline"/>
        <w:rPr>
          <w:rFonts w:hint="eastAsia" w:ascii="仿宋_GB2312" w:hAnsi="仿宋_GB2312" w:eastAsia="仿宋_GB2312" w:cs="仿宋_GB2312"/>
          <w:spacing w:val="8"/>
          <w:position w:val="-2"/>
          <w:sz w:val="32"/>
          <w:szCs w:val="32"/>
          <w:lang w:eastAsia="zh-CN"/>
        </w:rPr>
      </w:pPr>
      <w:r>
        <w:rPr>
          <w:rFonts w:hint="eastAsia" w:ascii="仿宋_GB2312" w:hAnsi="仿宋_GB2312" w:eastAsia="仿宋_GB2312" w:cs="仿宋_GB2312"/>
          <w:spacing w:val="-3"/>
          <w:position w:val="-4"/>
          <w:sz w:val="32"/>
          <w:szCs w:val="32"/>
        </w:rPr>
        <w:t>2.种植体旋入植入、攻丝操作：</w:t>
      </w:r>
      <w:r>
        <w:rPr>
          <w:rFonts w:hint="eastAsia" w:ascii="仿宋_GB2312" w:hAnsi="仿宋_GB2312" w:eastAsia="仿宋_GB2312" w:cs="仿宋_GB2312"/>
          <w:spacing w:val="-53"/>
          <w:position w:val="-4"/>
          <w:sz w:val="32"/>
          <w:szCs w:val="32"/>
        </w:rPr>
        <w:t xml:space="preserve"> </w:t>
      </w:r>
      <w:r>
        <w:rPr>
          <w:rFonts w:hint="eastAsia" w:ascii="仿宋_GB2312" w:hAnsi="仿宋_GB2312" w:eastAsia="仿宋_GB2312" w:cs="仿宋_GB2312"/>
          <w:spacing w:val="-3"/>
          <w:position w:val="-4"/>
          <w:sz w:val="32"/>
          <w:szCs w:val="32"/>
        </w:rPr>
        <w:t>高扭矩输出（</w:t>
      </w:r>
      <w:r>
        <w:rPr>
          <w:rFonts w:hint="eastAsia" w:ascii="仿宋_GB2312" w:hAnsi="仿宋_GB2312" w:eastAsia="仿宋_GB2312" w:cs="仿宋_GB2312"/>
          <w:spacing w:val="-4"/>
          <w:position w:val="-4"/>
          <w:sz w:val="32"/>
          <w:szCs w:val="32"/>
        </w:rPr>
        <w:t>机头最大  55Ncm，</w:t>
      </w:r>
      <w:r>
        <w:rPr>
          <w:rFonts w:hint="eastAsia" w:ascii="仿宋_GB2312" w:hAnsi="仿宋_GB2312" w:eastAsia="仿宋_GB2312" w:cs="仿宋_GB2312"/>
          <w:spacing w:val="5"/>
          <w:position w:val="-3"/>
          <w:sz w:val="32"/>
          <w:szCs w:val="32"/>
        </w:rPr>
        <w:t>整套系统最高80</w:t>
      </w:r>
      <w:r>
        <w:rPr>
          <w:rFonts w:hint="eastAsia" w:ascii="仿宋_GB2312" w:hAnsi="仿宋_GB2312" w:eastAsia="仿宋_GB2312" w:cs="仿宋_GB2312"/>
          <w:position w:val="-3"/>
          <w:sz w:val="32"/>
          <w:szCs w:val="32"/>
        </w:rPr>
        <w:t>Ncm</w:t>
      </w:r>
      <w:r>
        <w:rPr>
          <w:rFonts w:hint="eastAsia" w:ascii="仿宋_GB2312" w:hAnsi="仿宋_GB2312" w:eastAsia="仿宋_GB2312" w:cs="仿宋_GB2312"/>
          <w:spacing w:val="3"/>
          <w:position w:val="-3"/>
          <w:sz w:val="32"/>
          <w:szCs w:val="32"/>
        </w:rPr>
        <w:t>），</w:t>
      </w:r>
      <w:r>
        <w:rPr>
          <w:rFonts w:hint="eastAsia" w:ascii="仿宋_GB2312" w:hAnsi="仿宋_GB2312" w:eastAsia="仿宋_GB2312" w:cs="仿宋_GB2312"/>
          <w:spacing w:val="-60"/>
          <w:position w:val="-3"/>
          <w:sz w:val="32"/>
          <w:szCs w:val="32"/>
        </w:rPr>
        <w:t xml:space="preserve"> </w:t>
      </w:r>
      <w:r>
        <w:rPr>
          <w:rFonts w:hint="eastAsia" w:ascii="仿宋_GB2312" w:hAnsi="仿宋_GB2312" w:eastAsia="仿宋_GB2312" w:cs="仿宋_GB2312"/>
          <w:spacing w:val="5"/>
          <w:position w:val="-3"/>
          <w:sz w:val="32"/>
          <w:szCs w:val="32"/>
        </w:rPr>
        <w:t>可控扭力完成攻丝、种植体</w:t>
      </w:r>
      <w:r>
        <w:rPr>
          <w:rFonts w:hint="eastAsia" w:ascii="仿宋_GB2312" w:hAnsi="仿宋_GB2312" w:eastAsia="仿宋_GB2312" w:cs="仿宋_GB2312"/>
          <w:spacing w:val="4"/>
          <w:position w:val="-3"/>
          <w:sz w:val="32"/>
          <w:szCs w:val="32"/>
        </w:rPr>
        <w:t>拧入，</w:t>
      </w:r>
      <w:r>
        <w:rPr>
          <w:rFonts w:hint="eastAsia" w:ascii="仿宋_GB2312" w:hAnsi="仿宋_GB2312" w:eastAsia="仿宋_GB2312" w:cs="仿宋_GB2312"/>
          <w:spacing w:val="-58"/>
          <w:position w:val="-3"/>
          <w:sz w:val="32"/>
          <w:szCs w:val="32"/>
        </w:rPr>
        <w:t xml:space="preserve"> </w:t>
      </w:r>
      <w:r>
        <w:rPr>
          <w:rFonts w:hint="eastAsia" w:ascii="仿宋_GB2312" w:hAnsi="仿宋_GB2312" w:eastAsia="仿宋_GB2312" w:cs="仿宋_GB2312"/>
          <w:spacing w:val="4"/>
          <w:position w:val="-3"/>
          <w:sz w:val="32"/>
          <w:szCs w:val="32"/>
        </w:rPr>
        <w:t>实时</w:t>
      </w:r>
      <w:r>
        <w:rPr>
          <w:rFonts w:hint="eastAsia" w:ascii="仿宋_GB2312" w:hAnsi="仿宋_GB2312" w:eastAsia="仿宋_GB2312" w:cs="仿宋_GB2312"/>
          <w:spacing w:val="8"/>
          <w:position w:val="-3"/>
          <w:sz w:val="32"/>
          <w:szCs w:val="32"/>
        </w:rPr>
        <w:t>匹配种植机扭矩监控，</w:t>
      </w:r>
      <w:r>
        <w:rPr>
          <w:rFonts w:hint="eastAsia" w:ascii="仿宋_GB2312" w:hAnsi="仿宋_GB2312" w:eastAsia="仿宋_GB2312" w:cs="仿宋_GB2312"/>
          <w:spacing w:val="-47"/>
          <w:position w:val="-3"/>
          <w:sz w:val="32"/>
          <w:szCs w:val="32"/>
        </w:rPr>
        <w:t xml:space="preserve"> </w:t>
      </w:r>
      <w:r>
        <w:rPr>
          <w:rFonts w:hint="eastAsia" w:ascii="仿宋_GB2312" w:hAnsi="仿宋_GB2312" w:eastAsia="仿宋_GB2312" w:cs="仿宋_GB2312"/>
          <w:spacing w:val="8"/>
          <w:position w:val="-3"/>
          <w:sz w:val="32"/>
          <w:szCs w:val="32"/>
        </w:rPr>
        <w:t>防止扭力过大造成骨挤压坏死、扭力不足导</w:t>
      </w:r>
      <w:r>
        <w:rPr>
          <w:rFonts w:hint="eastAsia" w:ascii="仿宋_GB2312" w:hAnsi="仿宋_GB2312" w:eastAsia="仿宋_GB2312" w:cs="仿宋_GB2312"/>
          <w:spacing w:val="8"/>
          <w:position w:val="-2"/>
          <w:sz w:val="32"/>
          <w:szCs w:val="32"/>
        </w:rPr>
        <w:t>致种植体初期稳定性差，</w:t>
      </w:r>
      <w:r>
        <w:rPr>
          <w:rFonts w:hint="eastAsia" w:ascii="仿宋_GB2312" w:hAnsi="仿宋_GB2312" w:eastAsia="仿宋_GB2312" w:cs="仿宋_GB2312"/>
          <w:spacing w:val="-50"/>
          <w:position w:val="-2"/>
          <w:sz w:val="32"/>
          <w:szCs w:val="32"/>
        </w:rPr>
        <w:t xml:space="preserve"> </w:t>
      </w:r>
      <w:r>
        <w:rPr>
          <w:rFonts w:hint="eastAsia" w:ascii="仿宋_GB2312" w:hAnsi="仿宋_GB2312" w:eastAsia="仿宋_GB2312" w:cs="仿宋_GB2312"/>
          <w:spacing w:val="8"/>
          <w:position w:val="-2"/>
          <w:sz w:val="32"/>
          <w:szCs w:val="32"/>
        </w:rPr>
        <w:t>满足即刻负重、全口修复高稳定要求</w:t>
      </w:r>
      <w:r>
        <w:rPr>
          <w:rFonts w:hint="eastAsia" w:ascii="仿宋_GB2312" w:hAnsi="仿宋_GB2312" w:eastAsia="仿宋_GB2312" w:cs="仿宋_GB2312"/>
          <w:spacing w:val="8"/>
          <w:position w:val="-2"/>
          <w:sz w:val="32"/>
          <w:szCs w:val="32"/>
          <w:lang w:eastAsia="zh-CN"/>
        </w:rPr>
        <w:t>。</w:t>
      </w:r>
    </w:p>
    <w:p w14:paraId="1483645A">
      <w:pPr>
        <w:pStyle w:val="4"/>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64"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rPr>
        <w:t>3.复杂骨外科修整手术</w:t>
      </w:r>
    </w:p>
    <w:p w14:paraId="0A0B6865">
      <w:pPr>
        <w:pStyle w:val="4"/>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60" w:firstLineChars="20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5"/>
          <w:sz w:val="32"/>
          <w:szCs w:val="32"/>
        </w:rPr>
        <w:t>4.术中持续冷却降温，保护骨组织：机头自带外置固位式独立冷</w:t>
      </w:r>
      <w:r>
        <w:rPr>
          <w:rFonts w:hint="eastAsia" w:ascii="仿宋_GB2312" w:hAnsi="仿宋_GB2312" w:eastAsia="仿宋_GB2312" w:cs="仿宋_GB2312"/>
          <w:spacing w:val="7"/>
          <w:sz w:val="32"/>
          <w:szCs w:val="32"/>
        </w:rPr>
        <w:t>却水通道，</w:t>
      </w:r>
      <w:r>
        <w:rPr>
          <w:rFonts w:hint="eastAsia" w:ascii="仿宋_GB2312" w:hAnsi="仿宋_GB2312" w:eastAsia="仿宋_GB2312" w:cs="仿宋_GB2312"/>
          <w:spacing w:val="-51"/>
          <w:sz w:val="32"/>
          <w:szCs w:val="32"/>
        </w:rPr>
        <w:t xml:space="preserve"> </w:t>
      </w:r>
      <w:r>
        <w:rPr>
          <w:rFonts w:hint="eastAsia" w:ascii="仿宋_GB2312" w:hAnsi="仿宋_GB2312" w:eastAsia="仿宋_GB2312" w:cs="仿宋_GB2312"/>
          <w:spacing w:val="7"/>
          <w:sz w:val="32"/>
          <w:szCs w:val="32"/>
        </w:rPr>
        <w:t>术中持续输送生理盐水精准冲洗钻削位点，</w:t>
      </w:r>
      <w:r>
        <w:rPr>
          <w:rFonts w:hint="eastAsia" w:ascii="仿宋_GB2312" w:hAnsi="仿宋_GB2312" w:eastAsia="仿宋_GB2312" w:cs="仿宋_GB2312"/>
          <w:spacing w:val="-60"/>
          <w:sz w:val="32"/>
          <w:szCs w:val="32"/>
        </w:rPr>
        <w:t xml:space="preserve"> </w:t>
      </w:r>
      <w:r>
        <w:rPr>
          <w:rFonts w:hint="eastAsia" w:ascii="仿宋_GB2312" w:hAnsi="仿宋_GB2312" w:eastAsia="仿宋_GB2312" w:cs="仿宋_GB2312"/>
          <w:spacing w:val="7"/>
          <w:sz w:val="32"/>
          <w:szCs w:val="32"/>
        </w:rPr>
        <w:t>带走骨切削</w:t>
      </w:r>
      <w:r>
        <w:rPr>
          <w:rFonts w:hint="eastAsia" w:ascii="仿宋_GB2312" w:hAnsi="仿宋_GB2312" w:eastAsia="仿宋_GB2312" w:cs="仿宋_GB2312"/>
          <w:spacing w:val="3"/>
          <w:sz w:val="32"/>
          <w:szCs w:val="32"/>
        </w:rPr>
        <w:t>产生高温</w:t>
      </w:r>
      <w:r>
        <w:rPr>
          <w:rFonts w:hint="eastAsia" w:ascii="仿宋_GB2312" w:hAnsi="仿宋_GB2312" w:eastAsia="仿宋_GB2312" w:cs="仿宋_GB2312"/>
          <w:spacing w:val="-28"/>
          <w:sz w:val="32"/>
          <w:szCs w:val="32"/>
        </w:rPr>
        <w:t xml:space="preserve"> </w:t>
      </w:r>
      <w:r>
        <w:rPr>
          <w:rFonts w:hint="eastAsia" w:ascii="仿宋_GB2312" w:hAnsi="仿宋_GB2312" w:eastAsia="仿宋_GB2312" w:cs="仿宋_GB2312"/>
          <w:spacing w:val="3"/>
          <w:sz w:val="32"/>
          <w:szCs w:val="32"/>
        </w:rPr>
        <w:t>，避免骨组织热坏死</w:t>
      </w:r>
      <w:r>
        <w:rPr>
          <w:rFonts w:hint="eastAsia" w:ascii="仿宋_GB2312" w:hAnsi="仿宋_GB2312" w:eastAsia="仿宋_GB2312" w:cs="仿宋_GB2312"/>
          <w:spacing w:val="-41"/>
          <w:sz w:val="32"/>
          <w:szCs w:val="32"/>
        </w:rPr>
        <w:t xml:space="preserve"> </w:t>
      </w:r>
      <w:r>
        <w:rPr>
          <w:rFonts w:hint="eastAsia" w:ascii="仿宋_GB2312" w:hAnsi="仿宋_GB2312" w:eastAsia="仿宋_GB2312" w:cs="仿宋_GB2312"/>
          <w:spacing w:val="3"/>
          <w:sz w:val="32"/>
          <w:szCs w:val="32"/>
        </w:rPr>
        <w:t>，保障种植骨结合成功率；</w:t>
      </w:r>
      <w:r>
        <w:rPr>
          <w:rFonts w:hint="eastAsia" w:ascii="仿宋_GB2312" w:hAnsi="仿宋_GB2312" w:eastAsia="仿宋_GB2312" w:cs="仿宋_GB2312"/>
          <w:spacing w:val="-58"/>
          <w:sz w:val="32"/>
          <w:szCs w:val="32"/>
        </w:rPr>
        <w:t xml:space="preserve"> </w:t>
      </w:r>
      <w:r>
        <w:rPr>
          <w:rFonts w:hint="eastAsia" w:ascii="仿宋_GB2312" w:hAnsi="仿宋_GB2312" w:eastAsia="仿宋_GB2312" w:cs="仿宋_GB2312"/>
          <w:spacing w:val="3"/>
          <w:sz w:val="32"/>
          <w:szCs w:val="32"/>
        </w:rPr>
        <w:t>冷却水4</w:t>
      </w:r>
      <w:r>
        <w:rPr>
          <w:rFonts w:hint="eastAsia" w:ascii="仿宋_GB2312" w:hAnsi="仿宋_GB2312" w:eastAsia="仿宋_GB2312" w:cs="仿宋_GB2312"/>
          <w:spacing w:val="7"/>
          <w:sz w:val="32"/>
          <w:szCs w:val="32"/>
        </w:rPr>
        <w:t>档可调，</w:t>
      </w:r>
      <w:r>
        <w:rPr>
          <w:rFonts w:hint="eastAsia" w:ascii="仿宋_GB2312" w:hAnsi="仿宋_GB2312" w:eastAsia="仿宋_GB2312" w:cs="仿宋_GB2312"/>
          <w:spacing w:val="-66"/>
          <w:sz w:val="32"/>
          <w:szCs w:val="32"/>
        </w:rPr>
        <w:t xml:space="preserve"> </w:t>
      </w:r>
      <w:r>
        <w:rPr>
          <w:rFonts w:hint="eastAsia" w:ascii="仿宋_GB2312" w:hAnsi="仿宋_GB2312" w:eastAsia="仿宋_GB2312" w:cs="仿宋_GB2312"/>
          <w:spacing w:val="7"/>
          <w:sz w:val="32"/>
          <w:szCs w:val="32"/>
        </w:rPr>
        <w:t>适配不同骨密度手术需求。</w:t>
      </w:r>
    </w:p>
    <w:p w14:paraId="1CEB675F">
      <w:pPr>
        <w:pStyle w:val="4"/>
        <w:keepNext w:val="0"/>
        <w:keepLines w:val="0"/>
        <w:pageBreakBefore w:val="0"/>
        <w:widowControl/>
        <w:kinsoku w:val="0"/>
        <w:wordWrap/>
        <w:overflowPunct/>
        <w:topLinePunct w:val="0"/>
        <w:autoSpaceDE w:val="0"/>
        <w:autoSpaceDN w:val="0"/>
        <w:bidi w:val="0"/>
        <w:adjustRightInd w:val="0"/>
        <w:snapToGrid w:val="0"/>
        <w:spacing w:line="520" w:lineRule="exact"/>
        <w:ind w:right="0"/>
        <w:jc w:val="both"/>
        <w:textAlignment w:val="baseline"/>
        <w:rPr>
          <w:rFonts w:hint="eastAsia"/>
        </w:rPr>
      </w:pPr>
      <w:r>
        <w:rPr>
          <w:rFonts w:hint="eastAsia" w:ascii="仿宋_GB2312" w:hAnsi="仿宋_GB2312" w:eastAsia="仿宋_GB2312" w:cs="仿宋_GB2312"/>
          <w:spacing w:val="5"/>
          <w:position w:val="-2"/>
          <w:sz w:val="32"/>
          <w:szCs w:val="32"/>
        </w:rPr>
        <w:t>三</w:t>
      </w:r>
      <w:r>
        <w:rPr>
          <w:rFonts w:hint="eastAsia" w:ascii="仿宋_GB2312" w:hAnsi="仿宋_GB2312" w:eastAsia="仿宋_GB2312" w:cs="仿宋_GB2312"/>
          <w:spacing w:val="5"/>
          <w:position w:val="-2"/>
          <w:sz w:val="32"/>
          <w:szCs w:val="32"/>
          <w:lang w:eastAsia="zh-CN"/>
        </w:rPr>
        <w:t>、</w:t>
      </w:r>
      <w:r>
        <w:rPr>
          <w:rFonts w:hint="eastAsia" w:ascii="仿宋_GB2312" w:hAnsi="仿宋_GB2312" w:eastAsia="仿宋_GB2312" w:cs="仿宋_GB2312"/>
          <w:spacing w:val="5"/>
          <w:position w:val="-2"/>
          <w:sz w:val="32"/>
          <w:szCs w:val="32"/>
        </w:rPr>
        <w:t>主要技术参数:</w:t>
      </w:r>
    </w:p>
    <w:p w14:paraId="65662698">
      <w:pPr>
        <w:pStyle w:val="4"/>
        <w:keepNext w:val="0"/>
        <w:keepLines w:val="0"/>
        <w:pageBreakBefore w:val="0"/>
        <w:widowControl/>
        <w:numPr>
          <w:ilvl w:val="0"/>
          <w:numId w:val="2"/>
        </w:numPr>
        <w:kinsoku w:val="0"/>
        <w:wordWrap/>
        <w:overflowPunct/>
        <w:topLinePunct w:val="0"/>
        <w:autoSpaceDE w:val="0"/>
        <w:autoSpaceDN w:val="0"/>
        <w:bidi w:val="0"/>
        <w:adjustRightInd w:val="0"/>
        <w:snapToGrid w:val="0"/>
        <w:spacing w:line="520" w:lineRule="exact"/>
        <w:ind w:left="0" w:right="0" w:firstLine="636" w:firstLineChars="200"/>
        <w:jc w:val="both"/>
        <w:textAlignment w:val="baseline"/>
        <w:rPr>
          <w:rFonts w:hint="eastAsia" w:ascii="仿宋_GB2312" w:hAnsi="仿宋_GB2312" w:eastAsia="仿宋_GB2312" w:cs="仿宋_GB2312"/>
          <w:spacing w:val="8"/>
          <w:position w:val="-3"/>
          <w:sz w:val="32"/>
          <w:szCs w:val="32"/>
        </w:rPr>
      </w:pPr>
      <w:r>
        <w:rPr>
          <w:rFonts w:hint="eastAsia" w:ascii="仿宋_GB2312" w:hAnsi="仿宋_GB2312" w:eastAsia="仿宋_GB2312" w:cs="仿宋_GB2312"/>
          <w:spacing w:val="-1"/>
          <w:position w:val="-4"/>
          <w:sz w:val="32"/>
          <w:szCs w:val="32"/>
        </w:rPr>
        <w:t>变速传动比：原厂支持≥4种标准传动速比，包含1:1、16:1、</w:t>
      </w:r>
      <w:r>
        <w:rPr>
          <w:rFonts w:hint="eastAsia" w:ascii="仿宋_GB2312" w:hAnsi="仿宋_GB2312" w:eastAsia="仿宋_GB2312" w:cs="仿宋_GB2312"/>
          <w:spacing w:val="5"/>
          <w:position w:val="-3"/>
          <w:sz w:val="32"/>
          <w:szCs w:val="32"/>
        </w:rPr>
        <w:t>20:1、27:1，</w:t>
      </w:r>
      <w:r>
        <w:rPr>
          <w:rFonts w:hint="eastAsia" w:ascii="仿宋_GB2312" w:hAnsi="仿宋_GB2312" w:eastAsia="仿宋_GB2312" w:cs="仿宋_GB2312"/>
          <w:spacing w:val="-70"/>
          <w:position w:val="-3"/>
          <w:sz w:val="32"/>
          <w:szCs w:val="32"/>
        </w:rPr>
        <w:t xml:space="preserve"> </w:t>
      </w:r>
      <w:r>
        <w:rPr>
          <w:rFonts w:hint="eastAsia" w:ascii="仿宋_GB2312" w:hAnsi="仿宋_GB2312" w:eastAsia="仿宋_GB2312" w:cs="仿宋_GB2312"/>
          <w:spacing w:val="5"/>
          <w:position w:val="-3"/>
          <w:sz w:val="32"/>
          <w:szCs w:val="32"/>
        </w:rPr>
        <w:t>标配20:1种植专用减速机</w:t>
      </w:r>
      <w:r>
        <w:rPr>
          <w:rFonts w:hint="eastAsia" w:ascii="仿宋_GB2312" w:hAnsi="仿宋_GB2312" w:eastAsia="仿宋_GB2312" w:cs="仿宋_GB2312"/>
          <w:spacing w:val="4"/>
          <w:position w:val="-3"/>
          <w:sz w:val="32"/>
          <w:szCs w:val="32"/>
        </w:rPr>
        <w:t>头，</w:t>
      </w:r>
      <w:r>
        <w:rPr>
          <w:rFonts w:hint="eastAsia" w:ascii="仿宋_GB2312" w:hAnsi="仿宋_GB2312" w:eastAsia="仿宋_GB2312" w:cs="仿宋_GB2312"/>
          <w:spacing w:val="-68"/>
          <w:position w:val="-3"/>
          <w:sz w:val="32"/>
          <w:szCs w:val="32"/>
        </w:rPr>
        <w:t xml:space="preserve"> </w:t>
      </w:r>
      <w:r>
        <w:rPr>
          <w:rFonts w:hint="eastAsia" w:ascii="仿宋_GB2312" w:hAnsi="仿宋_GB2312" w:eastAsia="仿宋_GB2312" w:cs="仿宋_GB2312"/>
          <w:spacing w:val="4"/>
          <w:position w:val="-3"/>
          <w:sz w:val="32"/>
          <w:szCs w:val="32"/>
        </w:rPr>
        <w:t>适配钻孔、扩孔、植</w:t>
      </w:r>
      <w:r>
        <w:rPr>
          <w:rFonts w:hint="eastAsia" w:ascii="仿宋_GB2312" w:hAnsi="仿宋_GB2312" w:eastAsia="仿宋_GB2312" w:cs="仿宋_GB2312"/>
          <w:spacing w:val="8"/>
          <w:position w:val="-3"/>
          <w:sz w:val="32"/>
          <w:szCs w:val="32"/>
        </w:rPr>
        <w:t>体植入全流程</w:t>
      </w:r>
      <w:r>
        <w:rPr>
          <w:rFonts w:hint="eastAsia" w:ascii="仿宋_GB2312" w:hAnsi="仿宋_GB2312" w:eastAsia="仿宋_GB2312" w:cs="仿宋_GB2312"/>
          <w:spacing w:val="8"/>
          <w:position w:val="-3"/>
          <w:sz w:val="32"/>
          <w:szCs w:val="32"/>
          <w:lang w:eastAsia="zh-CN"/>
        </w:rPr>
        <w:t>。</w:t>
      </w:r>
    </w:p>
    <w:p w14:paraId="1B526285">
      <w:pPr>
        <w:pStyle w:val="4"/>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2" w:firstLineChars="200"/>
        <w:textAlignment w:val="baseline"/>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8"/>
          <w:position w:val="-3"/>
          <w:sz w:val="32"/>
          <w:szCs w:val="32"/>
          <w:lang w:val="en-US" w:eastAsia="zh-CN"/>
        </w:rPr>
        <w:t>2.</w:t>
      </w:r>
      <w:r>
        <w:rPr>
          <w:rFonts w:hint="eastAsia" w:ascii="仿宋_GB2312" w:hAnsi="仿宋_GB2312" w:eastAsia="仿宋_GB2312" w:cs="仿宋_GB2312"/>
          <w:spacing w:val="8"/>
          <w:position w:val="-3"/>
          <w:sz w:val="32"/>
          <w:szCs w:val="32"/>
        </w:rPr>
        <w:t>机头工作转速：弯手机输出转速区间</w:t>
      </w:r>
      <w:r>
        <w:rPr>
          <w:rFonts w:hint="eastAsia" w:ascii="仿宋_GB2312" w:hAnsi="仿宋_GB2312" w:eastAsia="仿宋_GB2312" w:cs="仿宋_GB2312"/>
          <w:spacing w:val="8"/>
          <w:position w:val="-3"/>
          <w:sz w:val="32"/>
          <w:szCs w:val="32"/>
          <w:lang w:val="en-US" w:eastAsia="zh-CN"/>
        </w:rPr>
        <w:t>≥</w:t>
      </w:r>
      <w:r>
        <w:rPr>
          <w:rFonts w:hint="eastAsia" w:ascii="仿宋_GB2312" w:hAnsi="仿宋_GB2312" w:eastAsia="仿宋_GB2312" w:cs="仿宋_GB2312"/>
          <w:spacing w:val="8"/>
          <w:position w:val="-3"/>
          <w:sz w:val="32"/>
          <w:szCs w:val="32"/>
        </w:rPr>
        <w:t>15–2000rpm</w:t>
      </w:r>
      <w:r>
        <w:rPr>
          <w:rFonts w:hint="eastAsia" w:ascii="仿宋_GB2312" w:hAnsi="仿宋_GB2312" w:eastAsia="仿宋_GB2312" w:cs="仿宋_GB2312"/>
          <w:spacing w:val="8"/>
          <w:position w:val="-3"/>
          <w:sz w:val="32"/>
          <w:szCs w:val="32"/>
          <w:lang w:eastAsia="zh-CN"/>
        </w:rPr>
        <w:t>，</w:t>
      </w:r>
      <w:r>
        <w:rPr>
          <w:rFonts w:hint="eastAsia" w:ascii="仿宋_GB2312" w:hAnsi="仿宋_GB2312" w:eastAsia="仿宋_GB2312" w:cs="仿宋_GB2312"/>
          <w:spacing w:val="8"/>
          <w:position w:val="-3"/>
          <w:sz w:val="32"/>
          <w:szCs w:val="32"/>
        </w:rPr>
        <w:t>低速扭矩输出稳定，避免骨组织灼伤。</w:t>
      </w:r>
    </w:p>
    <w:p w14:paraId="70DE9F7A">
      <w:pPr>
        <w:pStyle w:val="4"/>
        <w:keepNext w:val="0"/>
        <w:keepLines w:val="0"/>
        <w:pageBreakBefore w:val="0"/>
        <w:widowControl/>
        <w:kinsoku w:val="0"/>
        <w:wordWrap/>
        <w:overflowPunct/>
        <w:topLinePunct w:val="0"/>
        <w:autoSpaceDE w:val="0"/>
        <w:autoSpaceDN w:val="0"/>
        <w:bidi w:val="0"/>
        <w:adjustRightInd w:val="0"/>
        <w:snapToGrid w:val="0"/>
        <w:spacing w:line="520" w:lineRule="exact"/>
        <w:ind w:right="0" w:firstLine="66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rPr>
        <w:t>3.马达输入最高转速</w:t>
      </w:r>
      <w:r>
        <w:rPr>
          <w:rFonts w:hint="eastAsia" w:ascii="仿宋_GB2312" w:hAnsi="仿宋_GB2312" w:eastAsia="仿宋_GB2312" w:cs="仿宋_GB2312"/>
          <w:spacing w:val="-36"/>
          <w:sz w:val="32"/>
          <w:szCs w:val="32"/>
        </w:rPr>
        <w:t xml:space="preserve"> </w:t>
      </w:r>
      <w:r>
        <w:rPr>
          <w:rFonts w:hint="eastAsia" w:ascii="仿宋_GB2312" w:hAnsi="仿宋_GB2312" w:eastAsia="仿宋_GB2312" w:cs="仿宋_GB2312"/>
          <w:spacing w:val="5"/>
          <w:sz w:val="32"/>
          <w:szCs w:val="32"/>
        </w:rPr>
        <w:t>配套原厂</w:t>
      </w:r>
      <w:r>
        <w:rPr>
          <w:rFonts w:hint="eastAsia" w:ascii="仿宋_GB2312" w:hAnsi="仿宋_GB2312" w:eastAsia="仿宋_GB2312" w:cs="仿宋_GB2312"/>
          <w:sz w:val="32"/>
          <w:szCs w:val="32"/>
        </w:rPr>
        <w:t>LED</w:t>
      </w:r>
      <w:r>
        <w:rPr>
          <w:rFonts w:hint="eastAsia" w:ascii="仿宋_GB2312" w:hAnsi="仿宋_GB2312" w:eastAsia="仿宋_GB2312" w:cs="仿宋_GB2312"/>
          <w:spacing w:val="5"/>
          <w:sz w:val="32"/>
          <w:szCs w:val="32"/>
        </w:rPr>
        <w:t>马达最高空载转速</w:t>
      </w:r>
      <w:r>
        <w:rPr>
          <w:rFonts w:hint="eastAsia" w:ascii="仿宋_GB2312" w:hAnsi="仿宋_GB2312" w:eastAsia="仿宋_GB2312" w:cs="仿宋_GB2312"/>
          <w:b/>
          <w:bCs/>
          <w:color w:val="000000" w:themeColor="text1"/>
          <w:spacing w:val="5"/>
          <w:sz w:val="32"/>
          <w:szCs w:val="32"/>
          <w:lang w:val="en-US" w:eastAsia="zh-CN"/>
          <w14:textFill>
            <w14:solidFill>
              <w14:schemeClr w14:val="tx1"/>
            </w14:solidFill>
          </w14:textFill>
        </w:rPr>
        <w:t>≥</w:t>
      </w:r>
      <w:r>
        <w:rPr>
          <w:rFonts w:hint="eastAsia" w:ascii="仿宋_GB2312" w:hAnsi="仿宋_GB2312" w:eastAsia="仿宋_GB2312" w:cs="仿宋_GB2312"/>
          <w:sz w:val="32"/>
          <w:szCs w:val="32"/>
        </w:rPr>
        <w:t>40000rpm，</w:t>
      </w:r>
      <w:r>
        <w:rPr>
          <w:rFonts w:hint="eastAsia" w:ascii="仿宋_GB2312" w:hAnsi="仿宋_GB2312" w:eastAsia="仿宋_GB2312" w:cs="仿宋_GB2312"/>
          <w:spacing w:val="-52"/>
          <w:sz w:val="32"/>
          <w:szCs w:val="32"/>
        </w:rPr>
        <w:t xml:space="preserve"> </w:t>
      </w:r>
      <w:r>
        <w:rPr>
          <w:rFonts w:hint="eastAsia" w:ascii="仿宋_GB2312" w:hAnsi="仿宋_GB2312" w:eastAsia="仿宋_GB2312" w:cs="仿宋_GB2312"/>
          <w:sz w:val="32"/>
          <w:szCs w:val="32"/>
        </w:rPr>
        <w:t>无级连续调速。</w:t>
      </w:r>
    </w:p>
    <w:p w14:paraId="2A0F28A0">
      <w:pPr>
        <w:keepNext w:val="0"/>
        <w:keepLines w:val="0"/>
        <w:pageBreakBefore w:val="0"/>
        <w:widowControl/>
        <w:kinsoku w:val="0"/>
        <w:wordWrap/>
        <w:overflowPunct/>
        <w:topLinePunct w:val="0"/>
        <w:autoSpaceDE w:val="0"/>
        <w:autoSpaceDN w:val="0"/>
        <w:bidi w:val="0"/>
        <w:adjustRightInd w:val="0"/>
        <w:snapToGrid w:val="0"/>
        <w:spacing w:line="520" w:lineRule="exact"/>
        <w:ind w:firstLine="644"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4.扭矩性能：</w:t>
      </w:r>
      <w:r>
        <w:rPr>
          <w:rFonts w:hint="eastAsia" w:ascii="仿宋_GB2312" w:hAnsi="仿宋_GB2312" w:eastAsia="仿宋_GB2312" w:cs="仿宋_GB2312"/>
          <w:spacing w:val="-57"/>
          <w:sz w:val="32"/>
          <w:szCs w:val="32"/>
        </w:rPr>
        <w:t xml:space="preserve"> </w:t>
      </w:r>
      <w:r>
        <w:rPr>
          <w:rFonts w:hint="eastAsia" w:ascii="仿宋_GB2312" w:hAnsi="仿宋_GB2312" w:eastAsia="仿宋_GB2312" w:cs="仿宋_GB2312"/>
          <w:spacing w:val="1"/>
          <w:sz w:val="32"/>
          <w:szCs w:val="32"/>
        </w:rPr>
        <w:t>整套系统最大输出扭矩≥80</w:t>
      </w:r>
      <w:r>
        <w:rPr>
          <w:rFonts w:hint="eastAsia" w:ascii="仿宋_GB2312" w:hAnsi="仿宋_GB2312" w:eastAsia="仿宋_GB2312" w:cs="仿宋_GB2312"/>
          <w:sz w:val="32"/>
          <w:szCs w:val="32"/>
        </w:rPr>
        <w:t>Ncm</w:t>
      </w:r>
      <w:r>
        <w:rPr>
          <w:rFonts w:hint="eastAsia" w:ascii="仿宋_GB2312" w:hAnsi="仿宋_GB2312" w:eastAsia="仿宋_GB2312" w:cs="仿宋_GB2312"/>
          <w:spacing w:val="-43"/>
          <w:sz w:val="32"/>
          <w:szCs w:val="32"/>
        </w:rPr>
        <w:t xml:space="preserve"> </w:t>
      </w:r>
      <w:r>
        <w:rPr>
          <w:rFonts w:hint="eastAsia" w:ascii="仿宋_GB2312" w:hAnsi="仿宋_GB2312" w:eastAsia="仿宋_GB2312" w:cs="仿宋_GB2312"/>
          <w:spacing w:val="1"/>
          <w:sz w:val="32"/>
          <w:szCs w:val="32"/>
        </w:rPr>
        <w:t>，扭矩可调范围覆</w:t>
      </w:r>
      <w:r>
        <w:rPr>
          <w:rFonts w:hint="eastAsia" w:ascii="仿宋_GB2312" w:hAnsi="仿宋_GB2312" w:eastAsia="仿宋_GB2312" w:cs="仿宋_GB2312"/>
          <w:spacing w:val="5"/>
          <w:sz w:val="32"/>
          <w:szCs w:val="32"/>
        </w:rPr>
        <w:t>盖</w:t>
      </w:r>
      <w:r>
        <w:rPr>
          <w:rFonts w:hint="eastAsia" w:ascii="仿宋_GB2312" w:hAnsi="仿宋_GB2312" w:eastAsia="仿宋_GB2312" w:cs="仿宋_GB2312"/>
          <w:b/>
          <w:bCs/>
          <w:color w:val="000000" w:themeColor="text1"/>
          <w:spacing w:val="5"/>
          <w:sz w:val="32"/>
          <w:szCs w:val="32"/>
          <w:lang w:val="en-US" w:eastAsia="zh-CN"/>
          <w14:textFill>
            <w14:solidFill>
              <w14:schemeClr w14:val="tx1"/>
            </w14:solidFill>
          </w14:textFill>
        </w:rPr>
        <w:t>≥</w:t>
      </w:r>
      <w:r>
        <w:rPr>
          <w:rFonts w:hint="eastAsia" w:ascii="仿宋_GB2312" w:hAnsi="仿宋_GB2312" w:eastAsia="仿宋_GB2312" w:cs="仿宋_GB2312"/>
          <w:spacing w:val="5"/>
          <w:sz w:val="32"/>
          <w:szCs w:val="32"/>
        </w:rPr>
        <w:t>5–80</w:t>
      </w:r>
      <w:r>
        <w:rPr>
          <w:rFonts w:hint="eastAsia" w:ascii="仿宋_GB2312" w:hAnsi="仿宋_GB2312" w:eastAsia="仿宋_GB2312" w:cs="仿宋_GB2312"/>
          <w:sz w:val="32"/>
          <w:szCs w:val="32"/>
        </w:rPr>
        <w:t>Ncm</w:t>
      </w:r>
      <w:r>
        <w:rPr>
          <w:rFonts w:hint="eastAsia" w:ascii="仿宋_GB2312" w:hAnsi="仿宋_GB2312" w:eastAsia="仿宋_GB2312" w:cs="仿宋_GB2312"/>
          <w:spacing w:val="5"/>
          <w:sz w:val="32"/>
          <w:szCs w:val="32"/>
        </w:rPr>
        <w:t>，</w:t>
      </w:r>
      <w:r>
        <w:rPr>
          <w:rFonts w:hint="eastAsia" w:ascii="仿宋_GB2312" w:hAnsi="仿宋_GB2312" w:eastAsia="仿宋_GB2312" w:cs="仿宋_GB2312"/>
          <w:spacing w:val="-65"/>
          <w:sz w:val="32"/>
          <w:szCs w:val="32"/>
        </w:rPr>
        <w:t xml:space="preserve"> </w:t>
      </w:r>
      <w:r>
        <w:rPr>
          <w:rFonts w:hint="eastAsia" w:ascii="仿宋_GB2312" w:hAnsi="仿宋_GB2312" w:eastAsia="仿宋_GB2312" w:cs="仿宋_GB2312"/>
          <w:spacing w:val="5"/>
          <w:sz w:val="32"/>
          <w:szCs w:val="32"/>
        </w:rPr>
        <w:t>满足软硬骨、即刻负重、上颌窦外提升手术需求</w:t>
      </w:r>
      <w:r>
        <w:rPr>
          <w:rFonts w:hint="eastAsia" w:ascii="仿宋_GB2312" w:hAnsi="仿宋_GB2312" w:eastAsia="仿宋_GB2312" w:cs="仿宋_GB2312"/>
          <w:spacing w:val="4"/>
          <w:sz w:val="32"/>
          <w:szCs w:val="32"/>
        </w:rPr>
        <w:t>单手机机头最大扭矩</w:t>
      </w:r>
      <w:r>
        <w:rPr>
          <w:rFonts w:hint="eastAsia" w:ascii="仿宋_GB2312" w:hAnsi="仿宋_GB2312" w:eastAsia="仿宋_GB2312" w:cs="仿宋_GB2312"/>
          <w:b/>
          <w:bCs/>
          <w:color w:val="000000" w:themeColor="text1"/>
          <w:spacing w:val="92"/>
          <w:sz w:val="32"/>
          <w:szCs w:val="32"/>
          <w:lang w:val="en-US" w:eastAsia="zh-CN"/>
          <w14:textFill>
            <w14:solidFill>
              <w14:schemeClr w14:val="tx1"/>
            </w14:solidFill>
          </w14:textFill>
        </w:rPr>
        <w:t>≥</w:t>
      </w:r>
      <w:r>
        <w:rPr>
          <w:rFonts w:hint="eastAsia" w:ascii="仿宋_GB2312" w:hAnsi="仿宋_GB2312" w:eastAsia="仿宋_GB2312" w:cs="仿宋_GB2312"/>
          <w:spacing w:val="4"/>
          <w:sz w:val="32"/>
          <w:szCs w:val="32"/>
        </w:rPr>
        <w:t>55</w:t>
      </w:r>
      <w:r>
        <w:rPr>
          <w:rFonts w:hint="eastAsia" w:ascii="仿宋_GB2312" w:hAnsi="仿宋_GB2312" w:eastAsia="仿宋_GB2312" w:cs="仿宋_GB2312"/>
          <w:sz w:val="32"/>
          <w:szCs w:val="32"/>
        </w:rPr>
        <w:t>Ncm</w:t>
      </w:r>
      <w:r>
        <w:rPr>
          <w:rFonts w:hint="eastAsia" w:ascii="仿宋_GB2312" w:hAnsi="仿宋_GB2312" w:eastAsia="仿宋_GB2312" w:cs="仿宋_GB2312"/>
          <w:spacing w:val="4"/>
          <w:sz w:val="32"/>
          <w:szCs w:val="32"/>
        </w:rPr>
        <w:t>，</w:t>
      </w:r>
      <w:r>
        <w:rPr>
          <w:rFonts w:hint="eastAsia" w:ascii="仿宋_GB2312" w:hAnsi="仿宋_GB2312" w:eastAsia="仿宋_GB2312" w:cs="仿宋_GB2312"/>
          <w:spacing w:val="-68"/>
          <w:sz w:val="32"/>
          <w:szCs w:val="32"/>
        </w:rPr>
        <w:t xml:space="preserve"> </w:t>
      </w:r>
      <w:r>
        <w:rPr>
          <w:rFonts w:hint="eastAsia" w:ascii="仿宋_GB2312" w:hAnsi="仿宋_GB2312" w:eastAsia="仿宋_GB2312" w:cs="仿宋_GB2312"/>
          <w:spacing w:val="4"/>
          <w:sz w:val="32"/>
          <w:szCs w:val="32"/>
        </w:rPr>
        <w:t>双重扭矩安全冗余。</w:t>
      </w:r>
    </w:p>
    <w:p w14:paraId="70254C0B">
      <w:pPr>
        <w:pStyle w:val="4"/>
        <w:keepNext w:val="0"/>
        <w:keepLines w:val="0"/>
        <w:pageBreakBefore w:val="0"/>
        <w:widowControl/>
        <w:kinsoku w:val="0"/>
        <w:wordWrap/>
        <w:overflowPunct/>
        <w:topLinePunct w:val="0"/>
        <w:autoSpaceDE w:val="0"/>
        <w:autoSpaceDN w:val="0"/>
        <w:bidi w:val="0"/>
        <w:adjustRightInd w:val="0"/>
        <w:snapToGrid w:val="0"/>
        <w:spacing w:line="520" w:lineRule="exact"/>
        <w:ind w:right="0" w:firstLine="628"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3"/>
          <w:position w:val="-4"/>
          <w:sz w:val="32"/>
          <w:szCs w:val="32"/>
        </w:rPr>
        <w:t>5.机头结构消毒设计：机头两段式可拆卸分体结构，无清洗死角；</w:t>
      </w:r>
      <w:r>
        <w:rPr>
          <w:rFonts w:hint="eastAsia" w:ascii="仿宋_GB2312" w:hAnsi="仿宋_GB2312" w:eastAsia="仿宋_GB2312" w:cs="仿宋_GB2312"/>
          <w:spacing w:val="4"/>
          <w:position w:val="-3"/>
          <w:sz w:val="32"/>
          <w:szCs w:val="32"/>
        </w:rPr>
        <w:t>整机可135℃高温高压反复灭菌，机头可拆卸无需工具</w:t>
      </w:r>
      <w:r>
        <w:rPr>
          <w:rFonts w:hint="eastAsia" w:ascii="仿宋_GB2312" w:hAnsi="仿宋_GB2312" w:eastAsia="仿宋_GB2312" w:cs="仿宋_GB2312"/>
          <w:spacing w:val="-44"/>
          <w:position w:val="-3"/>
          <w:sz w:val="32"/>
          <w:szCs w:val="32"/>
        </w:rPr>
        <w:t xml:space="preserve"> </w:t>
      </w:r>
      <w:r>
        <w:rPr>
          <w:rFonts w:hint="eastAsia" w:ascii="仿宋_GB2312" w:hAnsi="仿宋_GB2312" w:eastAsia="仿宋_GB2312" w:cs="仿宋_GB2312"/>
          <w:spacing w:val="4"/>
          <w:position w:val="-3"/>
          <w:sz w:val="32"/>
          <w:szCs w:val="32"/>
        </w:rPr>
        <w:t>，</w:t>
      </w:r>
      <w:r>
        <w:rPr>
          <w:rFonts w:hint="eastAsia" w:ascii="仿宋_GB2312" w:hAnsi="仿宋_GB2312" w:eastAsia="仿宋_GB2312" w:cs="仿宋_GB2312"/>
          <w:spacing w:val="3"/>
          <w:position w:val="-3"/>
          <w:sz w:val="32"/>
          <w:szCs w:val="32"/>
        </w:rPr>
        <w:t>符合院感</w:t>
      </w:r>
      <w:r>
        <w:rPr>
          <w:rFonts w:hint="eastAsia" w:ascii="仿宋_GB2312" w:hAnsi="仿宋_GB2312" w:eastAsia="仿宋_GB2312" w:cs="仿宋_GB2312"/>
          <w:spacing w:val="5"/>
          <w:position w:val="-2"/>
          <w:sz w:val="32"/>
          <w:szCs w:val="32"/>
        </w:rPr>
        <w:t>规范，匹配江西公立医院消毒质控要求。</w:t>
      </w:r>
    </w:p>
    <w:p w14:paraId="5C32F216">
      <w:pPr>
        <w:pStyle w:val="4"/>
        <w:keepNext w:val="0"/>
        <w:keepLines w:val="0"/>
        <w:pageBreakBefore w:val="0"/>
        <w:widowControl/>
        <w:kinsoku w:val="0"/>
        <w:wordWrap/>
        <w:overflowPunct/>
        <w:topLinePunct w:val="0"/>
        <w:autoSpaceDE w:val="0"/>
        <w:autoSpaceDN w:val="0"/>
        <w:bidi w:val="0"/>
        <w:adjustRightInd w:val="0"/>
        <w:snapToGrid w:val="0"/>
        <w:spacing w:line="520" w:lineRule="exact"/>
        <w:ind w:right="0" w:firstLine="644"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
          <w:position w:val="-3"/>
          <w:sz w:val="32"/>
          <w:szCs w:val="32"/>
        </w:rPr>
        <w:t>6.光纤</w:t>
      </w:r>
      <w:r>
        <w:rPr>
          <w:rFonts w:hint="eastAsia" w:ascii="仿宋_GB2312" w:hAnsi="仿宋_GB2312" w:eastAsia="仿宋_GB2312" w:cs="仿宋_GB2312"/>
          <w:position w:val="-3"/>
          <w:sz w:val="32"/>
          <w:szCs w:val="32"/>
        </w:rPr>
        <w:t>LED</w:t>
      </w:r>
      <w:r>
        <w:rPr>
          <w:rFonts w:hint="eastAsia" w:ascii="仿宋_GB2312" w:hAnsi="仿宋_GB2312" w:eastAsia="仿宋_GB2312" w:cs="仿宋_GB2312"/>
          <w:spacing w:val="1"/>
          <w:position w:val="-3"/>
          <w:sz w:val="32"/>
          <w:szCs w:val="32"/>
        </w:rPr>
        <w:t xml:space="preserve"> 照明：内置一体式光纤</w:t>
      </w:r>
      <w:r>
        <w:rPr>
          <w:rFonts w:hint="eastAsia" w:ascii="仿宋_GB2312" w:hAnsi="仿宋_GB2312" w:eastAsia="仿宋_GB2312" w:cs="仿宋_GB2312"/>
          <w:position w:val="-3"/>
          <w:sz w:val="32"/>
          <w:szCs w:val="32"/>
        </w:rPr>
        <w:t>LED</w:t>
      </w:r>
      <w:r>
        <w:rPr>
          <w:rFonts w:hint="eastAsia" w:ascii="仿宋_GB2312" w:hAnsi="仿宋_GB2312" w:eastAsia="仿宋_GB2312" w:cs="仿宋_GB2312"/>
          <w:spacing w:val="1"/>
          <w:position w:val="-3"/>
          <w:sz w:val="32"/>
          <w:szCs w:val="32"/>
        </w:rPr>
        <w:t>光源，</w:t>
      </w:r>
      <w:r>
        <w:rPr>
          <w:rFonts w:hint="eastAsia" w:ascii="仿宋_GB2312" w:hAnsi="仿宋_GB2312" w:eastAsia="仿宋_GB2312" w:cs="仿宋_GB2312"/>
          <w:spacing w:val="-62"/>
          <w:position w:val="-3"/>
          <w:sz w:val="32"/>
          <w:szCs w:val="32"/>
        </w:rPr>
        <w:t xml:space="preserve"> </w:t>
      </w:r>
      <w:r>
        <w:rPr>
          <w:rFonts w:hint="eastAsia" w:ascii="仿宋_GB2312" w:hAnsi="仿宋_GB2312" w:eastAsia="仿宋_GB2312" w:cs="仿宋_GB2312"/>
          <w:spacing w:val="1"/>
          <w:position w:val="-3"/>
          <w:sz w:val="32"/>
          <w:szCs w:val="32"/>
        </w:rPr>
        <w:t>无影照明，</w:t>
      </w:r>
      <w:r>
        <w:rPr>
          <w:rFonts w:hint="eastAsia" w:ascii="仿宋_GB2312" w:hAnsi="仿宋_GB2312" w:eastAsia="仿宋_GB2312" w:cs="仿宋_GB2312"/>
          <w:spacing w:val="-61"/>
          <w:position w:val="-3"/>
          <w:sz w:val="32"/>
          <w:szCs w:val="32"/>
        </w:rPr>
        <w:t xml:space="preserve"> </w:t>
      </w:r>
      <w:r>
        <w:rPr>
          <w:rFonts w:hint="eastAsia" w:ascii="仿宋_GB2312" w:hAnsi="仿宋_GB2312" w:eastAsia="仿宋_GB2312" w:cs="仿宋_GB2312"/>
          <w:spacing w:val="1"/>
          <w:position w:val="-3"/>
          <w:sz w:val="32"/>
          <w:szCs w:val="32"/>
        </w:rPr>
        <w:t>照</w:t>
      </w:r>
      <w:r>
        <w:rPr>
          <w:rFonts w:hint="eastAsia" w:ascii="仿宋_GB2312" w:hAnsi="仿宋_GB2312" w:eastAsia="仿宋_GB2312" w:cs="仿宋_GB2312"/>
          <w:spacing w:val="6"/>
          <w:position w:val="-2"/>
          <w:sz w:val="32"/>
          <w:szCs w:val="32"/>
        </w:rPr>
        <w:t>度均匀，无需额外外接光源管线。</w:t>
      </w:r>
    </w:p>
    <w:p w14:paraId="266C03EF">
      <w:pPr>
        <w:pStyle w:val="4"/>
        <w:keepNext w:val="0"/>
        <w:keepLines w:val="0"/>
        <w:pageBreakBefore w:val="0"/>
        <w:widowControl/>
        <w:kinsoku w:val="0"/>
        <w:wordWrap/>
        <w:overflowPunct/>
        <w:topLinePunct w:val="0"/>
        <w:autoSpaceDE w:val="0"/>
        <w:autoSpaceDN w:val="0"/>
        <w:bidi w:val="0"/>
        <w:adjustRightInd w:val="0"/>
        <w:snapToGrid w:val="0"/>
        <w:spacing w:line="520" w:lineRule="exact"/>
        <w:ind w:right="0" w:firstLine="660" w:firstLineChars="200"/>
        <w:textAlignment w:val="baseline"/>
        <w:rPr>
          <w:rFonts w:hint="eastAsia" w:ascii="仿宋_GB2312" w:hAnsi="仿宋_GB2312" w:eastAsia="仿宋_GB2312" w:cs="仿宋_GB2312"/>
          <w:spacing w:val="6"/>
          <w:position w:val="-2"/>
          <w:sz w:val="32"/>
          <w:szCs w:val="32"/>
        </w:rPr>
      </w:pPr>
      <w:r>
        <w:rPr>
          <w:rFonts w:hint="eastAsia" w:ascii="仿宋_GB2312" w:hAnsi="仿宋_GB2312" w:eastAsia="仿宋_GB2312" w:cs="仿宋_GB2312"/>
          <w:spacing w:val="5"/>
          <w:position w:val="-3"/>
          <w:sz w:val="32"/>
          <w:szCs w:val="32"/>
        </w:rPr>
        <w:t>7.冷却供水系统：机头集成带固位卡扣外置独立冷却水喷头</w:t>
      </w:r>
      <w:r>
        <w:rPr>
          <w:rFonts w:hint="eastAsia" w:ascii="仿宋_GB2312" w:hAnsi="仿宋_GB2312" w:eastAsia="仿宋_GB2312" w:cs="仿宋_GB2312"/>
          <w:spacing w:val="5"/>
          <w:position w:val="-3"/>
          <w:sz w:val="32"/>
          <w:szCs w:val="32"/>
          <w:lang w:eastAsia="zh-CN"/>
        </w:rPr>
        <w:t>，</w:t>
      </w:r>
      <w:r>
        <w:rPr>
          <w:rFonts w:hint="eastAsia" w:ascii="仿宋_GB2312" w:hAnsi="仿宋_GB2312" w:eastAsia="仿宋_GB2312" w:cs="仿宋_GB2312"/>
          <w:spacing w:val="5"/>
          <w:position w:val="-3"/>
          <w:sz w:val="32"/>
          <w:szCs w:val="32"/>
        </w:rPr>
        <w:t>防</w:t>
      </w:r>
      <w:r>
        <w:rPr>
          <w:rFonts w:hint="eastAsia" w:ascii="仿宋_GB2312" w:hAnsi="仿宋_GB2312" w:eastAsia="仿宋_GB2312" w:cs="仿宋_GB2312"/>
          <w:spacing w:val="6"/>
          <w:position w:val="-2"/>
          <w:sz w:val="32"/>
          <w:szCs w:val="32"/>
        </w:rPr>
        <w:t>脱落、</w:t>
      </w:r>
      <w:r>
        <w:rPr>
          <w:rFonts w:hint="eastAsia" w:ascii="仿宋_GB2312" w:hAnsi="仿宋_GB2312" w:eastAsia="仿宋_GB2312" w:cs="仿宋_GB2312"/>
          <w:spacing w:val="-56"/>
          <w:position w:val="-2"/>
          <w:sz w:val="32"/>
          <w:szCs w:val="32"/>
        </w:rPr>
        <w:t xml:space="preserve"> </w:t>
      </w:r>
      <w:r>
        <w:rPr>
          <w:rFonts w:hint="eastAsia" w:ascii="仿宋_GB2312" w:hAnsi="仿宋_GB2312" w:eastAsia="仿宋_GB2312" w:cs="仿宋_GB2312"/>
          <w:spacing w:val="6"/>
          <w:position w:val="-2"/>
          <w:sz w:val="32"/>
          <w:szCs w:val="32"/>
        </w:rPr>
        <w:t>防偏移</w:t>
      </w:r>
      <w:r>
        <w:rPr>
          <w:rFonts w:hint="eastAsia" w:ascii="仿宋_GB2312" w:hAnsi="仿宋_GB2312" w:eastAsia="仿宋_GB2312" w:cs="仿宋_GB2312"/>
          <w:spacing w:val="6"/>
          <w:position w:val="-2"/>
          <w:sz w:val="32"/>
          <w:szCs w:val="32"/>
          <w:lang w:eastAsia="zh-CN"/>
        </w:rPr>
        <w:t>，</w:t>
      </w:r>
      <w:r>
        <w:rPr>
          <w:rFonts w:hint="eastAsia" w:ascii="仿宋_GB2312" w:hAnsi="仿宋_GB2312" w:eastAsia="仿宋_GB2312" w:cs="仿宋_GB2312"/>
          <w:spacing w:val="6"/>
          <w:position w:val="-2"/>
          <w:sz w:val="32"/>
          <w:szCs w:val="32"/>
        </w:rPr>
        <w:t>生理盐水冷却精准覆盖种植位点。</w:t>
      </w:r>
    </w:p>
    <w:p w14:paraId="2A6AD868">
      <w:pPr>
        <w:pStyle w:val="4"/>
        <w:keepNext w:val="0"/>
        <w:keepLines w:val="0"/>
        <w:pageBreakBefore w:val="0"/>
        <w:widowControl/>
        <w:kinsoku w:val="0"/>
        <w:wordWrap/>
        <w:overflowPunct/>
        <w:topLinePunct w:val="0"/>
        <w:autoSpaceDE w:val="0"/>
        <w:autoSpaceDN w:val="0"/>
        <w:bidi w:val="0"/>
        <w:adjustRightInd w:val="0"/>
        <w:snapToGrid w:val="0"/>
        <w:spacing w:line="520" w:lineRule="exact"/>
        <w:ind w:right="0" w:firstLine="640" w:firstLineChars="200"/>
        <w:textAlignment w:val="baseline"/>
        <w:rPr>
          <w:rFonts w:hint="eastAsia" w:ascii="仿宋_GB2312" w:hAnsi="仿宋_GB2312" w:eastAsia="仿宋_GB2312" w:cs="仿宋_GB2312"/>
          <w:spacing w:val="-2"/>
          <w:sz w:val="32"/>
          <w:szCs w:val="32"/>
        </w:rPr>
      </w:pPr>
      <w:r>
        <w:rPr>
          <w:rFonts w:hint="eastAsia" w:ascii="仿宋_GB2312" w:hAnsi="仿宋_GB2312" w:eastAsia="仿宋_GB2312" w:cs="仿宋_GB2312"/>
          <w:sz w:val="32"/>
          <w:szCs w:val="32"/>
          <w:lang w:val="en-US"/>
        </w:rPr>
        <w:t>8</w:t>
      </w:r>
      <w:r>
        <w:rPr>
          <w:rFonts w:hint="eastAsia" w:ascii="仿宋_GB2312" w:hAnsi="仿宋_GB2312" w:eastAsia="仿宋_GB2312" w:cs="仿宋_GB2312"/>
          <w:sz w:val="32"/>
          <w:szCs w:val="32"/>
        </w:rPr>
        <w:t>.车针夹持标准：</w:t>
      </w:r>
      <w:r>
        <w:rPr>
          <w:rFonts w:hint="eastAsia" w:ascii="仿宋_GB2312" w:hAnsi="仿宋_GB2312" w:eastAsia="仿宋_GB2312" w:cs="仿宋_GB2312"/>
          <w:spacing w:val="-32"/>
          <w:sz w:val="32"/>
          <w:szCs w:val="32"/>
        </w:rPr>
        <w:t xml:space="preserve"> </w:t>
      </w:r>
      <w:r>
        <w:rPr>
          <w:rFonts w:hint="eastAsia" w:ascii="仿宋_GB2312" w:hAnsi="仿宋_GB2312" w:eastAsia="仿宋_GB2312" w:cs="仿宋_GB2312"/>
          <w:sz w:val="32"/>
          <w:szCs w:val="32"/>
        </w:rPr>
        <w:t>国际通用ISO 3964E型接口，</w:t>
      </w:r>
      <w:r>
        <w:rPr>
          <w:rFonts w:hint="eastAsia" w:ascii="仿宋_GB2312" w:hAnsi="仿宋_GB2312" w:eastAsia="仿宋_GB2312" w:cs="仿宋_GB2312"/>
          <w:spacing w:val="-68"/>
          <w:sz w:val="32"/>
          <w:szCs w:val="32"/>
        </w:rPr>
        <w:t xml:space="preserve"> </w:t>
      </w:r>
      <w:r>
        <w:rPr>
          <w:rFonts w:hint="eastAsia" w:ascii="仿宋_GB2312" w:hAnsi="仿宋_GB2312" w:eastAsia="仿宋_GB2312" w:cs="仿宋_GB2312"/>
          <w:sz w:val="32"/>
          <w:szCs w:val="32"/>
        </w:rPr>
        <w:t>适配φ2.35mm标准外科种植车针，按压式一键卸针，夹</w:t>
      </w:r>
      <w:r>
        <w:rPr>
          <w:rFonts w:hint="eastAsia" w:ascii="仿宋_GB2312" w:hAnsi="仿宋_GB2312" w:eastAsia="仿宋_GB2312" w:cs="仿宋_GB2312"/>
          <w:spacing w:val="-1"/>
          <w:sz w:val="32"/>
          <w:szCs w:val="32"/>
        </w:rPr>
        <w:t>持稳固无跳动，</w:t>
      </w:r>
      <w:r>
        <w:rPr>
          <w:rFonts w:hint="eastAsia" w:ascii="仿宋_GB2312" w:hAnsi="仿宋_GB2312" w:eastAsia="仿宋_GB2312" w:cs="仿宋_GB2312"/>
          <w:spacing w:val="-2"/>
          <w:sz w:val="32"/>
          <w:szCs w:val="32"/>
        </w:rPr>
        <w:t>车针最大夹持长度≥36mm。</w:t>
      </w:r>
    </w:p>
    <w:p w14:paraId="581D357D">
      <w:pPr>
        <w:pStyle w:val="4"/>
        <w:keepNext w:val="0"/>
        <w:keepLines w:val="0"/>
        <w:pageBreakBefore w:val="0"/>
        <w:widowControl/>
        <w:kinsoku w:val="0"/>
        <w:wordWrap/>
        <w:overflowPunct/>
        <w:topLinePunct w:val="0"/>
        <w:autoSpaceDE w:val="0"/>
        <w:autoSpaceDN w:val="0"/>
        <w:bidi w:val="0"/>
        <w:adjustRightInd w:val="0"/>
        <w:snapToGrid w:val="0"/>
        <w:spacing w:before="1" w:line="520" w:lineRule="exact"/>
        <w:ind w:right="24"/>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配置清单:</w:t>
      </w:r>
    </w:p>
    <w:p w14:paraId="38F39D36">
      <w:pPr>
        <w:pStyle w:val="4"/>
        <w:keepNext w:val="0"/>
        <w:keepLines w:val="0"/>
        <w:pageBreakBefore w:val="0"/>
        <w:widowControl/>
        <w:kinsoku w:val="0"/>
        <w:wordWrap/>
        <w:overflowPunct/>
        <w:topLinePunct w:val="0"/>
        <w:autoSpaceDE w:val="0"/>
        <w:autoSpaceDN w:val="0"/>
        <w:bidi w:val="0"/>
        <w:adjustRightInd w:val="0"/>
        <w:snapToGrid w:val="0"/>
        <w:spacing w:before="1" w:line="520" w:lineRule="exact"/>
        <w:ind w:right="23" w:firstLine="644" w:firstLineChars="200"/>
        <w:textAlignment w:val="baseline"/>
        <w:rPr>
          <w:rFonts w:hint="eastAsia" w:ascii="仿宋_GB2312" w:hAnsi="仿宋_GB2312" w:eastAsia="仿宋_GB2312" w:cs="仿宋_GB2312"/>
          <w:spacing w:val="1"/>
          <w:sz w:val="32"/>
          <w:szCs w:val="32"/>
          <w:lang w:val="en-US" w:eastAsia="zh-CN"/>
        </w:rPr>
      </w:pPr>
      <w:r>
        <w:rPr>
          <w:rFonts w:hint="eastAsia" w:ascii="仿宋_GB2312" w:hAnsi="仿宋_GB2312" w:eastAsia="仿宋_GB2312" w:cs="仿宋_GB2312"/>
          <w:spacing w:val="1"/>
          <w:sz w:val="32"/>
          <w:szCs w:val="32"/>
          <w:lang w:val="en-US" w:eastAsia="zh-CN"/>
        </w:rPr>
        <w:t>需适配在用MASTERsurg LUX Wireless</w:t>
      </w:r>
      <w:r>
        <w:rPr>
          <w:rFonts w:hint="eastAsia" w:ascii="仿宋_GB2312" w:hAnsi="仿宋_GB2312" w:eastAsia="仿宋_GB2312" w:cs="仿宋_GB2312"/>
          <w:spacing w:val="1"/>
          <w:sz w:val="32"/>
          <w:szCs w:val="32"/>
        </w:rPr>
        <w:t>种植机</w:t>
      </w:r>
    </w:p>
    <w:p w14:paraId="014F5C17">
      <w:pPr>
        <w:pStyle w:val="4"/>
        <w:keepNext w:val="0"/>
        <w:keepLines w:val="0"/>
        <w:pageBreakBefore w:val="0"/>
        <w:widowControl/>
        <w:kinsoku w:val="0"/>
        <w:wordWrap/>
        <w:overflowPunct/>
        <w:topLinePunct w:val="0"/>
        <w:autoSpaceDE w:val="0"/>
        <w:autoSpaceDN w:val="0"/>
        <w:bidi w:val="0"/>
        <w:adjustRightInd w:val="0"/>
        <w:snapToGrid w:val="0"/>
        <w:spacing w:before="1" w:line="520" w:lineRule="exac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7"/>
          <w:position w:val="-2"/>
          <w:sz w:val="32"/>
          <w:szCs w:val="32"/>
          <w:lang w:val="en-US" w:eastAsia="zh-CN"/>
        </w:rPr>
        <w:t>五</w:t>
      </w:r>
      <w:r>
        <w:rPr>
          <w:rFonts w:hint="eastAsia" w:ascii="仿宋_GB2312" w:hAnsi="仿宋_GB2312" w:eastAsia="仿宋_GB2312" w:cs="仿宋_GB2312"/>
          <w:spacing w:val="7"/>
          <w:position w:val="-2"/>
          <w:sz w:val="32"/>
          <w:szCs w:val="32"/>
        </w:rPr>
        <w:t>、质保及售后服务：</w:t>
      </w:r>
    </w:p>
    <w:p w14:paraId="218F8840">
      <w:pPr>
        <w:keepNext w:val="0"/>
        <w:keepLines w:val="0"/>
        <w:pageBreakBefore w:val="0"/>
        <w:widowControl/>
        <w:kinsoku w:val="0"/>
        <w:wordWrap/>
        <w:overflowPunct/>
        <w:topLinePunct w:val="0"/>
        <w:autoSpaceDE w:val="0"/>
        <w:autoSpaceDN w:val="0"/>
        <w:bidi w:val="0"/>
        <w:adjustRightInd w:val="0"/>
        <w:snapToGrid w:val="0"/>
        <w:spacing w:line="520" w:lineRule="exact"/>
        <w:ind w:left="0" w:firstLine="640" w:firstLineChars="200"/>
        <w:textAlignment w:val="baseline"/>
        <w:rPr>
          <w:rFonts w:hint="eastAsia"/>
          <w:b/>
          <w:bCs/>
          <w:sz w:val="30"/>
          <w:szCs w:val="30"/>
          <w:lang w:val="en-US" w:eastAsia="zh-CN"/>
        </w:rPr>
      </w:pPr>
      <w:r>
        <w:rPr>
          <w:rFonts w:hint="eastAsia" w:ascii="仿宋_GB2312" w:hAnsi="仿宋_GB2312" w:eastAsia="仿宋_GB2312" w:cs="仿宋_GB2312"/>
          <w:sz w:val="32"/>
          <w:szCs w:val="32"/>
        </w:rPr>
        <w:t>整机设计使用寿命≥</w:t>
      </w:r>
      <w:r>
        <w:rPr>
          <w:rFonts w:hint="eastAsia" w:ascii="仿宋_GB2312" w:hAnsi="仿宋_GB2312" w:eastAsia="仿宋_GB2312" w:cs="仿宋_GB2312"/>
          <w:spacing w:val="-50"/>
          <w:sz w:val="32"/>
          <w:szCs w:val="32"/>
        </w:rPr>
        <w:t xml:space="preserve"> </w:t>
      </w:r>
      <w:r>
        <w:rPr>
          <w:rFonts w:hint="eastAsia" w:ascii="仿宋_GB2312" w:hAnsi="仿宋_GB2312" w:eastAsia="仿宋_GB2312" w:cs="仿宋_GB2312"/>
          <w:sz w:val="32"/>
          <w:szCs w:val="32"/>
        </w:rPr>
        <w:t>10年，</w:t>
      </w:r>
      <w:r>
        <w:rPr>
          <w:rFonts w:hint="eastAsia" w:ascii="仿宋_GB2312" w:hAnsi="仿宋_GB2312" w:eastAsia="仿宋_GB2312" w:cs="仿宋_GB2312"/>
          <w:spacing w:val="-64"/>
          <w:sz w:val="32"/>
          <w:szCs w:val="32"/>
        </w:rPr>
        <w:t xml:space="preserve"> </w:t>
      </w:r>
      <w:r>
        <w:rPr>
          <w:rFonts w:hint="eastAsia" w:ascii="仿宋_GB2312" w:hAnsi="仿宋_GB2312" w:eastAsia="仿宋_GB2312" w:cs="仿宋_GB2312"/>
          <w:sz w:val="32"/>
          <w:szCs w:val="32"/>
        </w:rPr>
        <w:t>原厂整机质保≥2年，</w:t>
      </w:r>
      <w:r>
        <w:rPr>
          <w:rFonts w:hint="eastAsia" w:ascii="仿宋_GB2312" w:hAnsi="仿宋_GB2312" w:eastAsia="仿宋_GB2312" w:cs="仿宋_GB2312"/>
          <w:spacing w:val="-68"/>
          <w:sz w:val="32"/>
          <w:szCs w:val="32"/>
        </w:rPr>
        <w:t xml:space="preserve"> </w:t>
      </w:r>
      <w:r>
        <w:rPr>
          <w:rFonts w:hint="eastAsia" w:ascii="仿宋_GB2312" w:hAnsi="仿宋_GB2312" w:eastAsia="仿宋_GB2312" w:cs="仿宋_GB2312"/>
          <w:sz w:val="32"/>
          <w:szCs w:val="32"/>
        </w:rPr>
        <w:t>种植弯手机</w:t>
      </w:r>
      <w:r>
        <w:rPr>
          <w:rFonts w:hint="eastAsia" w:ascii="仿宋_GB2312" w:hAnsi="仿宋_GB2312" w:eastAsia="仿宋_GB2312" w:cs="仿宋_GB2312"/>
          <w:spacing w:val="-15"/>
          <w:sz w:val="32"/>
          <w:szCs w:val="32"/>
        </w:rPr>
        <w:t>质保≥</w:t>
      </w:r>
      <w:r>
        <w:rPr>
          <w:rFonts w:hint="eastAsia" w:ascii="仿宋_GB2312" w:hAnsi="仿宋_GB2312" w:eastAsia="仿宋_GB2312" w:cs="仿宋_GB2312"/>
          <w:spacing w:val="-56"/>
          <w:sz w:val="32"/>
          <w:szCs w:val="32"/>
        </w:rPr>
        <w:t xml:space="preserve"> </w:t>
      </w:r>
      <w:r>
        <w:rPr>
          <w:rFonts w:hint="eastAsia" w:ascii="仿宋_GB2312" w:hAnsi="仿宋_GB2312" w:eastAsia="仿宋_GB2312" w:cs="仿宋_GB2312"/>
          <w:spacing w:val="-15"/>
          <w:sz w:val="32"/>
          <w:szCs w:val="32"/>
        </w:rPr>
        <w:t>1年</w:t>
      </w:r>
      <w:r>
        <w:rPr>
          <w:rFonts w:hint="eastAsia" w:ascii="仿宋_GB2312" w:hAnsi="仿宋_GB2312" w:eastAsia="仿宋_GB2312" w:cs="仿宋_GB2312"/>
          <w:spacing w:val="-15"/>
          <w:sz w:val="32"/>
          <w:szCs w:val="32"/>
          <w:lang w:eastAsia="zh-CN"/>
        </w:rPr>
        <w:t>。</w:t>
      </w:r>
      <w:bookmarkStart w:id="0" w:name="_GoBack"/>
      <w:bookmarkEnd w:id="0"/>
    </w:p>
    <w:p w14:paraId="735E979D">
      <w:pPr>
        <w:keepNext w:val="0"/>
        <w:keepLines w:val="0"/>
        <w:pageBreakBefore w:val="0"/>
        <w:widowControl/>
        <w:kinsoku w:val="0"/>
        <w:wordWrap/>
        <w:overflowPunct/>
        <w:topLinePunct w:val="0"/>
        <w:autoSpaceDE w:val="0"/>
        <w:autoSpaceDN w:val="0"/>
        <w:bidi w:val="0"/>
        <w:adjustRightInd w:val="0"/>
        <w:snapToGrid w:val="0"/>
        <w:spacing w:line="500" w:lineRule="exact"/>
        <w:jc w:val="center"/>
        <w:textAlignment w:val="baseline"/>
        <w:rPr>
          <w:rFonts w:hint="eastAsia"/>
          <w:b/>
          <w:bCs/>
          <w:sz w:val="30"/>
          <w:szCs w:val="30"/>
          <w:lang w:val="en-US" w:eastAsia="zh-CN"/>
        </w:rPr>
      </w:pPr>
    </w:p>
    <w:p w14:paraId="5C759A8E">
      <w:pPr>
        <w:jc w:val="center"/>
        <w:rPr>
          <w:rFonts w:hint="eastAsia"/>
          <w:b/>
          <w:bCs/>
          <w:sz w:val="30"/>
          <w:szCs w:val="30"/>
          <w:lang w:val="en-US" w:eastAsia="zh-CN"/>
        </w:rPr>
      </w:pPr>
    </w:p>
    <w:p w14:paraId="0122B2C9">
      <w:pPr>
        <w:jc w:val="center"/>
        <w:rPr>
          <w:sz w:val="30"/>
          <w:szCs w:val="30"/>
        </w:rPr>
      </w:pPr>
      <w:r>
        <w:rPr>
          <w:rFonts w:hint="eastAsia"/>
          <w:b/>
          <w:bCs/>
          <w:sz w:val="30"/>
          <w:szCs w:val="30"/>
          <w:lang w:val="en-US" w:eastAsia="zh-CN"/>
        </w:rPr>
        <w:t>综合</w:t>
      </w:r>
      <w:r>
        <w:rPr>
          <w:rFonts w:hint="eastAsia"/>
          <w:b/>
          <w:bCs/>
          <w:sz w:val="30"/>
          <w:szCs w:val="30"/>
        </w:rPr>
        <w:t>评分</w:t>
      </w:r>
      <w:r>
        <w:rPr>
          <w:rFonts w:hint="eastAsia"/>
          <w:b/>
          <w:bCs/>
          <w:sz w:val="30"/>
          <w:szCs w:val="30"/>
          <w:lang w:val="en-US" w:eastAsia="zh-CN"/>
        </w:rPr>
        <w:t>法</w:t>
      </w:r>
      <w:r>
        <w:rPr>
          <w:rFonts w:hint="eastAsia"/>
          <w:b/>
          <w:bCs/>
          <w:sz w:val="30"/>
          <w:szCs w:val="30"/>
        </w:rPr>
        <w:t>方案</w:t>
      </w:r>
    </w:p>
    <w:tbl>
      <w:tblPr>
        <w:tblStyle w:val="2"/>
        <w:tblW w:w="10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1"/>
        <w:gridCol w:w="7758"/>
        <w:gridCol w:w="1121"/>
      </w:tblGrid>
      <w:tr w14:paraId="6344E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0420" w:type="dxa"/>
            <w:gridSpan w:val="3"/>
            <w:noWrap w:val="0"/>
            <w:vAlign w:val="center"/>
          </w:tcPr>
          <w:p w14:paraId="3E7E1EF7">
            <w:pPr>
              <w:widowControl/>
              <w:autoSpaceDE w:val="0"/>
              <w:autoSpaceDN w:val="0"/>
              <w:adjustRightInd w:val="0"/>
              <w:snapToGrid w:val="0"/>
              <w:spacing w:line="400" w:lineRule="exact"/>
              <w:jc w:val="center"/>
              <w:textAlignment w:val="baseline"/>
              <w:rPr>
                <w:rFonts w:hint="eastAsia" w:ascii="宋体" w:hAnsi="宋体" w:cs="宋体"/>
                <w:b/>
                <w:bCs/>
                <w:sz w:val="24"/>
              </w:rPr>
            </w:pPr>
            <w:r>
              <w:rPr>
                <w:rFonts w:hint="eastAsia" w:ascii="宋体" w:hAnsi="宋体" w:cs="宋体"/>
                <w:b/>
                <w:bCs/>
                <w:sz w:val="24"/>
                <w:szCs w:val="24"/>
              </w:rPr>
              <w:t>（一）价格评分：30分</w:t>
            </w:r>
          </w:p>
        </w:tc>
      </w:tr>
      <w:tr w14:paraId="576CA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9299" w:type="dxa"/>
            <w:gridSpan w:val="2"/>
            <w:noWrap w:val="0"/>
            <w:vAlign w:val="center"/>
          </w:tcPr>
          <w:p w14:paraId="7E9A102B">
            <w:pPr>
              <w:widowControl/>
              <w:autoSpaceDE w:val="0"/>
              <w:autoSpaceDN w:val="0"/>
              <w:adjustRightInd w:val="0"/>
              <w:snapToGrid w:val="0"/>
              <w:spacing w:line="400" w:lineRule="exact"/>
              <w:jc w:val="center"/>
              <w:textAlignment w:val="baseline"/>
              <w:rPr>
                <w:rFonts w:hint="eastAsia" w:ascii="宋体" w:hAnsi="宋体" w:cs="宋体"/>
                <w:bCs/>
                <w:sz w:val="24"/>
              </w:rPr>
            </w:pPr>
            <w:r>
              <w:rPr>
                <w:rFonts w:hint="eastAsia" w:ascii="宋体" w:hAnsi="宋体" w:cs="宋体"/>
                <w:b/>
                <w:bCs/>
                <w:sz w:val="24"/>
                <w:szCs w:val="24"/>
              </w:rPr>
              <w:t>评审内容</w:t>
            </w:r>
          </w:p>
        </w:tc>
        <w:tc>
          <w:tcPr>
            <w:tcW w:w="1121" w:type="dxa"/>
            <w:noWrap w:val="0"/>
            <w:vAlign w:val="center"/>
          </w:tcPr>
          <w:p w14:paraId="4EDC6C75">
            <w:pPr>
              <w:autoSpaceDE w:val="0"/>
              <w:autoSpaceDN w:val="0"/>
              <w:adjustRightInd w:val="0"/>
              <w:snapToGrid w:val="0"/>
              <w:spacing w:line="400" w:lineRule="exact"/>
              <w:jc w:val="center"/>
              <w:rPr>
                <w:rFonts w:hint="eastAsia" w:ascii="宋体" w:hAnsi="宋体" w:cs="宋体"/>
                <w:sz w:val="24"/>
              </w:rPr>
            </w:pPr>
            <w:r>
              <w:rPr>
                <w:rFonts w:hint="eastAsia" w:ascii="宋体" w:hAnsi="宋体" w:cs="宋体"/>
                <w:b/>
                <w:bCs/>
                <w:sz w:val="24"/>
                <w:szCs w:val="24"/>
              </w:rPr>
              <w:t>分值</w:t>
            </w:r>
          </w:p>
        </w:tc>
      </w:tr>
      <w:tr w14:paraId="4AA69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9299" w:type="dxa"/>
            <w:gridSpan w:val="2"/>
            <w:noWrap w:val="0"/>
            <w:vAlign w:val="center"/>
          </w:tcPr>
          <w:p w14:paraId="45FB93F9">
            <w:pPr>
              <w:widowControl/>
              <w:autoSpaceDE w:val="0"/>
              <w:autoSpaceDN w:val="0"/>
              <w:adjustRightInd w:val="0"/>
              <w:snapToGrid w:val="0"/>
              <w:spacing w:line="400" w:lineRule="exact"/>
              <w:ind w:firstLine="480" w:firstLineChars="200"/>
              <w:rPr>
                <w:rFonts w:hint="eastAsia" w:ascii="宋体" w:hAnsi="宋体" w:cs="宋体"/>
                <w:sz w:val="24"/>
              </w:rPr>
            </w:pPr>
            <w:r>
              <w:rPr>
                <w:rFonts w:hint="eastAsia" w:ascii="宋体" w:hAnsi="宋体" w:cs="宋体"/>
                <w:sz w:val="24"/>
                <w:szCs w:val="24"/>
              </w:rPr>
              <w:t>价格分采用低价优先法计算，即满足磋商文件要求且最后报价最低的磋商报价为评标基准价，其价格分为满分。其他供应商的价格分统一按下列公式计算：</w:t>
            </w:r>
          </w:p>
          <w:p w14:paraId="1AC407F6">
            <w:pPr>
              <w:widowControl/>
              <w:autoSpaceDE w:val="0"/>
              <w:autoSpaceDN w:val="0"/>
              <w:adjustRightInd w:val="0"/>
              <w:snapToGrid w:val="0"/>
              <w:spacing w:line="400" w:lineRule="exact"/>
              <w:rPr>
                <w:rFonts w:hint="eastAsia" w:ascii="宋体" w:hAnsi="宋体" w:cs="宋体"/>
                <w:sz w:val="24"/>
              </w:rPr>
            </w:pPr>
            <w:r>
              <w:rPr>
                <w:rFonts w:hint="eastAsia" w:ascii="宋体" w:hAnsi="宋体" w:cs="宋体"/>
                <w:spacing w:val="-1"/>
                <w:sz w:val="24"/>
                <w:szCs w:val="24"/>
              </w:rPr>
              <w:t>磋商报价得分=（评标基准价/磋商报价）*30</w:t>
            </w:r>
          </w:p>
        </w:tc>
        <w:tc>
          <w:tcPr>
            <w:tcW w:w="1121" w:type="dxa"/>
            <w:noWrap w:val="0"/>
            <w:vAlign w:val="center"/>
          </w:tcPr>
          <w:p w14:paraId="3073E236">
            <w:pPr>
              <w:autoSpaceDE w:val="0"/>
              <w:autoSpaceDN w:val="0"/>
              <w:adjustRightInd w:val="0"/>
              <w:snapToGrid w:val="0"/>
              <w:spacing w:line="400" w:lineRule="exact"/>
              <w:jc w:val="center"/>
              <w:rPr>
                <w:rFonts w:hint="eastAsia" w:ascii="宋体" w:hAnsi="宋体" w:cs="宋体"/>
                <w:sz w:val="24"/>
              </w:rPr>
            </w:pPr>
            <w:r>
              <w:rPr>
                <w:rFonts w:hint="eastAsia" w:ascii="宋体" w:hAnsi="宋体" w:cs="宋体"/>
                <w:b/>
                <w:bCs/>
                <w:sz w:val="24"/>
                <w:szCs w:val="24"/>
              </w:rPr>
              <w:t>30分</w:t>
            </w:r>
          </w:p>
        </w:tc>
      </w:tr>
      <w:tr w14:paraId="03410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0420" w:type="dxa"/>
            <w:gridSpan w:val="3"/>
            <w:noWrap w:val="0"/>
            <w:vAlign w:val="center"/>
          </w:tcPr>
          <w:p w14:paraId="3F6BE924">
            <w:pPr>
              <w:widowControl/>
              <w:autoSpaceDE w:val="0"/>
              <w:autoSpaceDN w:val="0"/>
              <w:adjustRightInd w:val="0"/>
              <w:snapToGrid w:val="0"/>
              <w:spacing w:line="400" w:lineRule="exact"/>
              <w:jc w:val="center"/>
              <w:textAlignment w:val="baseline"/>
              <w:rPr>
                <w:rFonts w:hint="eastAsia" w:ascii="宋体" w:hAnsi="宋体" w:cs="宋体"/>
                <w:sz w:val="24"/>
              </w:rPr>
            </w:pPr>
            <w:r>
              <w:rPr>
                <w:rFonts w:hint="eastAsia" w:ascii="宋体" w:hAnsi="宋体" w:cs="宋体"/>
                <w:b/>
                <w:bCs/>
                <w:sz w:val="24"/>
                <w:szCs w:val="24"/>
              </w:rPr>
              <w:t>（二）技术评审：</w:t>
            </w:r>
            <w:r>
              <w:rPr>
                <w:rFonts w:hint="default" w:ascii="宋体" w:hAnsi="宋体" w:cs="宋体"/>
                <w:b/>
                <w:bCs/>
                <w:sz w:val="24"/>
                <w:szCs w:val="24"/>
                <w:lang w:val="en-US"/>
              </w:rPr>
              <w:t>45</w:t>
            </w:r>
            <w:r>
              <w:rPr>
                <w:rFonts w:hint="eastAsia" w:ascii="宋体" w:hAnsi="宋体" w:cs="宋体"/>
                <w:b/>
                <w:bCs/>
                <w:sz w:val="24"/>
                <w:szCs w:val="24"/>
                <w:lang w:val="en-US" w:eastAsia="zh-CN"/>
              </w:rPr>
              <w:t>分</w:t>
            </w:r>
          </w:p>
        </w:tc>
      </w:tr>
      <w:tr w14:paraId="58697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541" w:type="dxa"/>
            <w:noWrap w:val="0"/>
            <w:vAlign w:val="center"/>
          </w:tcPr>
          <w:p w14:paraId="0C337807">
            <w:pPr>
              <w:autoSpaceDE w:val="0"/>
              <w:autoSpaceDN w:val="0"/>
              <w:adjustRightInd w:val="0"/>
              <w:snapToGrid w:val="0"/>
              <w:spacing w:line="400" w:lineRule="exact"/>
              <w:jc w:val="center"/>
              <w:rPr>
                <w:rFonts w:hint="eastAsia" w:ascii="宋体" w:hAnsi="宋体" w:cs="宋体"/>
                <w:b/>
                <w:bCs/>
                <w:sz w:val="24"/>
              </w:rPr>
            </w:pPr>
            <w:r>
              <w:rPr>
                <w:rFonts w:hint="eastAsia" w:ascii="宋体" w:hAnsi="宋体" w:cs="宋体"/>
                <w:b/>
                <w:bCs/>
                <w:sz w:val="24"/>
                <w:szCs w:val="24"/>
              </w:rPr>
              <w:t>技术指标及要求</w:t>
            </w:r>
          </w:p>
        </w:tc>
        <w:tc>
          <w:tcPr>
            <w:tcW w:w="7758" w:type="dxa"/>
            <w:noWrap w:val="0"/>
            <w:vAlign w:val="center"/>
          </w:tcPr>
          <w:p w14:paraId="2EB9F336">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cs="宋体"/>
                <w:sz w:val="24"/>
              </w:rPr>
            </w:pPr>
            <w:r>
              <w:rPr>
                <w:rFonts w:hint="eastAsia" w:ascii="宋体" w:hAnsi="宋体" w:cs="宋体"/>
                <w:sz w:val="24"/>
                <w:szCs w:val="24"/>
              </w:rPr>
              <w:t>完全响应磋商文件“第五章货物需求表及采购需求”一、技术需求中所有实质性条款，任何一项不满足投标无效。</w:t>
            </w:r>
          </w:p>
          <w:p w14:paraId="671722A1">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cs="宋体"/>
                <w:b/>
                <w:bCs/>
                <w:sz w:val="24"/>
              </w:rPr>
            </w:pPr>
            <w:r>
              <w:rPr>
                <w:rFonts w:hint="eastAsia" w:ascii="宋体" w:hAnsi="宋体" w:cs="宋体"/>
                <w:b/>
                <w:bCs/>
                <w:sz w:val="24"/>
                <w:szCs w:val="24"/>
              </w:rPr>
              <w:t>评审依据：技术需求响应/偏离表。</w:t>
            </w:r>
          </w:p>
        </w:tc>
        <w:tc>
          <w:tcPr>
            <w:tcW w:w="1121" w:type="dxa"/>
            <w:noWrap w:val="0"/>
            <w:vAlign w:val="center"/>
          </w:tcPr>
          <w:p w14:paraId="47DBA368">
            <w:pPr>
              <w:autoSpaceDE w:val="0"/>
              <w:autoSpaceDN w:val="0"/>
              <w:adjustRightInd w:val="0"/>
              <w:snapToGrid w:val="0"/>
              <w:spacing w:line="400" w:lineRule="exact"/>
              <w:jc w:val="center"/>
              <w:textAlignment w:val="center"/>
              <w:rPr>
                <w:rFonts w:hint="eastAsia" w:ascii="宋体" w:hAnsi="宋体" w:cs="宋体"/>
                <w:b/>
                <w:bCs/>
                <w:sz w:val="24"/>
              </w:rPr>
            </w:pPr>
            <w:r>
              <w:rPr>
                <w:rFonts w:hint="eastAsia" w:ascii="宋体" w:hAnsi="宋体" w:cs="宋体"/>
                <w:b/>
                <w:bCs/>
                <w:sz w:val="24"/>
                <w:szCs w:val="24"/>
              </w:rPr>
              <w:t>符合性审查</w:t>
            </w:r>
          </w:p>
        </w:tc>
      </w:tr>
      <w:tr w14:paraId="79135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541" w:type="dxa"/>
            <w:vMerge w:val="restart"/>
            <w:noWrap w:val="0"/>
            <w:vAlign w:val="center"/>
          </w:tcPr>
          <w:p w14:paraId="537929E6">
            <w:pPr>
              <w:widowControl/>
              <w:autoSpaceDE w:val="0"/>
              <w:autoSpaceDN w:val="0"/>
              <w:adjustRightInd w:val="0"/>
              <w:snapToGrid w:val="0"/>
              <w:spacing w:line="400" w:lineRule="exact"/>
              <w:jc w:val="center"/>
              <w:rPr>
                <w:rFonts w:hint="eastAsia" w:ascii="宋体" w:hAnsi="宋体" w:cs="宋体"/>
                <w:spacing w:val="-1"/>
                <w:sz w:val="24"/>
              </w:rPr>
            </w:pPr>
            <w:r>
              <w:rPr>
                <w:rFonts w:hint="eastAsia" w:ascii="宋体" w:hAnsi="宋体" w:cs="宋体"/>
                <w:b/>
                <w:bCs/>
                <w:spacing w:val="-1"/>
                <w:sz w:val="24"/>
                <w:szCs w:val="24"/>
              </w:rPr>
              <w:t>技术加分项（</w:t>
            </w:r>
            <w:r>
              <w:rPr>
                <w:rFonts w:hint="default" w:ascii="宋体" w:hAnsi="宋体" w:cs="宋体"/>
                <w:b/>
                <w:bCs/>
                <w:spacing w:val="-1"/>
                <w:sz w:val="24"/>
                <w:szCs w:val="24"/>
                <w:lang w:val="en-US"/>
              </w:rPr>
              <w:t>45</w:t>
            </w:r>
            <w:r>
              <w:rPr>
                <w:rFonts w:hint="eastAsia" w:ascii="宋体" w:hAnsi="宋体" w:cs="宋体"/>
                <w:b/>
                <w:bCs/>
                <w:spacing w:val="-1"/>
                <w:sz w:val="24"/>
                <w:szCs w:val="24"/>
              </w:rPr>
              <w:t>分）</w:t>
            </w:r>
          </w:p>
        </w:tc>
        <w:tc>
          <w:tcPr>
            <w:tcW w:w="7758" w:type="dxa"/>
            <w:noWrap w:val="0"/>
            <w:vAlign w:val="center"/>
          </w:tcPr>
          <w:p w14:paraId="4C9C7F47">
            <w:pPr>
              <w:autoSpaceDE w:val="0"/>
              <w:autoSpaceDN w:val="0"/>
              <w:adjustRightInd w:val="0"/>
              <w:snapToGrid w:val="0"/>
              <w:spacing w:line="400" w:lineRule="exact"/>
              <w:rPr>
                <w:rFonts w:hint="eastAsia" w:ascii="宋体" w:hAnsi="宋体" w:cs="宋体"/>
                <w:spacing w:val="-1"/>
                <w:sz w:val="24"/>
              </w:rPr>
            </w:pPr>
            <w:r>
              <w:rPr>
                <w:rFonts w:hint="eastAsia" w:ascii="宋体" w:hAnsi="宋体" w:cs="宋体"/>
                <w:spacing w:val="-1"/>
                <w:sz w:val="24"/>
                <w:szCs w:val="24"/>
              </w:rPr>
              <w:t>1.A需求：具有CE标识，满足得</w:t>
            </w:r>
            <w:r>
              <w:rPr>
                <w:rFonts w:hint="default" w:ascii="宋体" w:hAnsi="宋体" w:cs="宋体"/>
                <w:spacing w:val="-1"/>
                <w:sz w:val="24"/>
                <w:szCs w:val="24"/>
                <w:lang w:val="en-US"/>
              </w:rPr>
              <w:t>5</w:t>
            </w:r>
            <w:r>
              <w:rPr>
                <w:rFonts w:hint="eastAsia" w:ascii="宋体" w:hAnsi="宋体" w:cs="宋体"/>
                <w:spacing w:val="-1"/>
                <w:sz w:val="24"/>
                <w:szCs w:val="24"/>
              </w:rPr>
              <w:t>分；本项最高得</w:t>
            </w:r>
            <w:r>
              <w:rPr>
                <w:rFonts w:hint="default" w:ascii="宋体" w:hAnsi="宋体" w:cs="宋体"/>
                <w:spacing w:val="-1"/>
                <w:sz w:val="24"/>
                <w:szCs w:val="24"/>
                <w:lang w:val="en-US"/>
              </w:rPr>
              <w:t>5</w:t>
            </w:r>
            <w:r>
              <w:rPr>
                <w:rFonts w:hint="eastAsia" w:ascii="宋体" w:hAnsi="宋体" w:cs="宋体"/>
                <w:spacing w:val="-1"/>
                <w:sz w:val="24"/>
                <w:szCs w:val="24"/>
              </w:rPr>
              <w:t>分。</w:t>
            </w:r>
          </w:p>
          <w:p w14:paraId="1BA4D763">
            <w:pPr>
              <w:widowControl/>
              <w:autoSpaceDE w:val="0"/>
              <w:autoSpaceDN w:val="0"/>
              <w:adjustRightInd w:val="0"/>
              <w:snapToGrid w:val="0"/>
              <w:spacing w:line="400" w:lineRule="exact"/>
              <w:rPr>
                <w:rFonts w:hint="eastAsia" w:ascii="宋体" w:hAnsi="宋体" w:cs="宋体"/>
                <w:spacing w:val="-1"/>
                <w:sz w:val="24"/>
              </w:rPr>
            </w:pPr>
            <w:r>
              <w:rPr>
                <w:rFonts w:hint="eastAsia" w:ascii="宋体" w:hAnsi="宋体"/>
                <w:b/>
                <w:bCs/>
                <w:sz w:val="24"/>
                <w:szCs w:val="24"/>
              </w:rPr>
              <w:t>评审依据:响应文件提供设备生产厂家的技术白皮书或第三方检测机构出具的报告加盖生产厂家公章予以佐证，未提供或提供不合格不得分。</w:t>
            </w:r>
          </w:p>
        </w:tc>
        <w:tc>
          <w:tcPr>
            <w:tcW w:w="1121" w:type="dxa"/>
            <w:noWrap w:val="0"/>
            <w:vAlign w:val="center"/>
          </w:tcPr>
          <w:p w14:paraId="4326DF53">
            <w:pPr>
              <w:autoSpaceDE w:val="0"/>
              <w:autoSpaceDN w:val="0"/>
              <w:adjustRightInd w:val="0"/>
              <w:snapToGrid w:val="0"/>
              <w:spacing w:line="400" w:lineRule="exact"/>
              <w:jc w:val="center"/>
              <w:rPr>
                <w:rFonts w:hint="eastAsia" w:ascii="宋体" w:hAnsi="宋体" w:cs="宋体"/>
                <w:b/>
                <w:bCs/>
                <w:sz w:val="24"/>
              </w:rPr>
            </w:pPr>
            <w:r>
              <w:rPr>
                <w:rFonts w:hint="default" w:ascii="宋体" w:hAnsi="宋体" w:cs="宋体"/>
                <w:b/>
                <w:bCs/>
                <w:sz w:val="24"/>
                <w:szCs w:val="24"/>
                <w:lang w:val="en-US"/>
              </w:rPr>
              <w:t>5</w:t>
            </w:r>
            <w:r>
              <w:rPr>
                <w:rFonts w:hint="eastAsia" w:ascii="宋体" w:hAnsi="宋体" w:cs="宋体"/>
                <w:b/>
                <w:bCs/>
                <w:sz w:val="24"/>
                <w:szCs w:val="24"/>
              </w:rPr>
              <w:t>分</w:t>
            </w:r>
          </w:p>
        </w:tc>
      </w:tr>
      <w:tr w14:paraId="028BE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541" w:type="dxa"/>
            <w:vMerge w:val="continue"/>
            <w:noWrap w:val="0"/>
            <w:vAlign w:val="center"/>
          </w:tcPr>
          <w:p w14:paraId="0276B3B5">
            <w:pPr>
              <w:widowControl/>
              <w:autoSpaceDE w:val="0"/>
              <w:autoSpaceDN w:val="0"/>
              <w:adjustRightInd w:val="0"/>
              <w:snapToGrid w:val="0"/>
              <w:spacing w:line="400" w:lineRule="exact"/>
              <w:rPr>
                <w:rFonts w:hint="eastAsia" w:ascii="宋体" w:hAnsi="宋体" w:cs="宋体"/>
                <w:spacing w:val="-1"/>
                <w:sz w:val="24"/>
              </w:rPr>
            </w:pPr>
          </w:p>
        </w:tc>
        <w:tc>
          <w:tcPr>
            <w:tcW w:w="7758" w:type="dxa"/>
            <w:noWrap w:val="0"/>
            <w:vAlign w:val="center"/>
          </w:tcPr>
          <w:p w14:paraId="0B18E8DE">
            <w:pPr>
              <w:autoSpaceDE w:val="0"/>
              <w:autoSpaceDN w:val="0"/>
              <w:adjustRightInd w:val="0"/>
              <w:snapToGrid w:val="0"/>
              <w:spacing w:line="400" w:lineRule="exact"/>
              <w:rPr>
                <w:rFonts w:hint="default" w:ascii="宋体" w:hAnsi="宋体" w:cs="宋体"/>
                <w:spacing w:val="-1"/>
                <w:sz w:val="24"/>
                <w:szCs w:val="24"/>
                <w:lang w:val="en-US" w:eastAsia="zh-CN"/>
              </w:rPr>
            </w:pPr>
            <w:r>
              <w:rPr>
                <w:rFonts w:hint="eastAsia" w:ascii="宋体" w:hAnsi="宋体" w:cs="宋体"/>
                <w:spacing w:val="-1"/>
                <w:sz w:val="24"/>
                <w:szCs w:val="24"/>
              </w:rPr>
              <w:t>2</w:t>
            </w:r>
            <w:r>
              <w:rPr>
                <w:rFonts w:hint="eastAsia" w:ascii="宋体" w:hAnsi="宋体" w:cs="宋体"/>
                <w:spacing w:val="-1"/>
                <w:sz w:val="24"/>
                <w:szCs w:val="24"/>
                <w:lang w:eastAsia="zh-CN"/>
              </w:rPr>
              <w:t>.B需求：</w:t>
            </w:r>
            <w:r>
              <w:rPr>
                <w:rFonts w:hint="eastAsia" w:ascii="宋体" w:hAnsi="宋体" w:cs="宋体"/>
                <w:spacing w:val="-1"/>
                <w:sz w:val="24"/>
                <w:szCs w:val="24"/>
                <w:lang w:val="de-DE" w:eastAsia="zh-CN"/>
              </w:rPr>
              <w:t>手机接口处具有锁定装置，可以和现有马达形成互锁效果。</w:t>
            </w:r>
            <w:r>
              <w:rPr>
                <w:rFonts w:hint="eastAsia" w:ascii="宋体" w:hAnsi="宋体" w:cs="宋体"/>
                <w:spacing w:val="-1"/>
                <w:sz w:val="24"/>
                <w:szCs w:val="24"/>
                <w:lang w:val="en-US" w:eastAsia="zh-CN"/>
              </w:rPr>
              <w:t>满足得</w:t>
            </w:r>
            <w:r>
              <w:rPr>
                <w:rFonts w:hint="default" w:ascii="宋体" w:hAnsi="宋体" w:cs="宋体"/>
                <w:spacing w:val="-1"/>
                <w:sz w:val="24"/>
                <w:szCs w:val="24"/>
                <w:lang w:val="en-US" w:eastAsia="zh-CN"/>
              </w:rPr>
              <w:t>10</w:t>
            </w:r>
            <w:r>
              <w:rPr>
                <w:rFonts w:hint="eastAsia" w:ascii="宋体" w:hAnsi="宋体" w:cs="宋体"/>
                <w:spacing w:val="-1"/>
                <w:sz w:val="24"/>
                <w:szCs w:val="24"/>
                <w:lang w:val="en-US" w:eastAsia="zh-CN"/>
              </w:rPr>
              <w:t>分，本项最高得</w:t>
            </w:r>
            <w:r>
              <w:rPr>
                <w:rFonts w:hint="default" w:ascii="宋体" w:hAnsi="宋体" w:cs="宋体"/>
                <w:spacing w:val="-1"/>
                <w:sz w:val="24"/>
                <w:szCs w:val="24"/>
                <w:lang w:val="en-US" w:eastAsia="zh-CN"/>
              </w:rPr>
              <w:t>10</w:t>
            </w:r>
            <w:r>
              <w:rPr>
                <w:rFonts w:hint="eastAsia" w:ascii="宋体" w:hAnsi="宋体" w:cs="宋体"/>
                <w:spacing w:val="-1"/>
                <w:sz w:val="24"/>
                <w:szCs w:val="24"/>
                <w:lang w:val="en-US" w:eastAsia="zh-CN"/>
              </w:rPr>
              <w:t>分。</w:t>
            </w:r>
          </w:p>
          <w:p w14:paraId="58CB3FDF">
            <w:pPr>
              <w:autoSpaceDE w:val="0"/>
              <w:autoSpaceDN w:val="0"/>
              <w:adjustRightInd w:val="0"/>
              <w:snapToGrid w:val="0"/>
              <w:spacing w:line="400" w:lineRule="exact"/>
              <w:rPr>
                <w:rFonts w:hint="eastAsia" w:ascii="宋体" w:hAnsi="宋体" w:cs="宋体"/>
                <w:spacing w:val="-1"/>
                <w:sz w:val="24"/>
                <w:szCs w:val="24"/>
              </w:rPr>
            </w:pPr>
            <w:r>
              <w:rPr>
                <w:rFonts w:hint="eastAsia" w:ascii="宋体" w:hAnsi="宋体" w:cs="宋体"/>
                <w:b/>
                <w:bCs/>
                <w:spacing w:val="-1"/>
                <w:sz w:val="24"/>
                <w:szCs w:val="24"/>
              </w:rPr>
              <w:t>评审依据:响应文件提供设备生产厂家的技术白皮书或第三方检测机构出具的报告加盖生产厂家公章予以佐证，未提供或提供不合格不得分。</w:t>
            </w:r>
          </w:p>
        </w:tc>
        <w:tc>
          <w:tcPr>
            <w:tcW w:w="1121" w:type="dxa"/>
            <w:noWrap w:val="0"/>
            <w:vAlign w:val="center"/>
          </w:tcPr>
          <w:p w14:paraId="6A361B7A">
            <w:pPr>
              <w:autoSpaceDE w:val="0"/>
              <w:autoSpaceDN w:val="0"/>
              <w:adjustRightInd w:val="0"/>
              <w:snapToGrid w:val="0"/>
              <w:spacing w:line="400" w:lineRule="exact"/>
              <w:jc w:val="center"/>
              <w:rPr>
                <w:rFonts w:hint="eastAsia" w:ascii="宋体" w:hAnsi="宋体" w:cs="宋体"/>
                <w:b/>
                <w:bCs/>
                <w:sz w:val="24"/>
              </w:rPr>
            </w:pPr>
            <w:r>
              <w:rPr>
                <w:rFonts w:hint="default" w:ascii="宋体" w:hAnsi="宋体" w:cs="宋体"/>
                <w:b/>
                <w:bCs/>
                <w:sz w:val="24"/>
                <w:lang w:val="en-US"/>
              </w:rPr>
              <w:t>10</w:t>
            </w:r>
            <w:r>
              <w:rPr>
                <w:rFonts w:hint="eastAsia" w:ascii="宋体" w:hAnsi="宋体" w:cs="宋体"/>
                <w:b/>
                <w:bCs/>
                <w:sz w:val="24"/>
                <w:lang w:val="en-US" w:eastAsia="zh-CN"/>
              </w:rPr>
              <w:t>分</w:t>
            </w:r>
          </w:p>
        </w:tc>
      </w:tr>
      <w:tr w14:paraId="16C1B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541" w:type="dxa"/>
            <w:vMerge w:val="continue"/>
            <w:noWrap w:val="0"/>
            <w:vAlign w:val="center"/>
          </w:tcPr>
          <w:p w14:paraId="22BD2A8C">
            <w:pPr>
              <w:widowControl/>
              <w:autoSpaceDE w:val="0"/>
              <w:autoSpaceDN w:val="0"/>
              <w:adjustRightInd w:val="0"/>
              <w:snapToGrid w:val="0"/>
              <w:spacing w:line="400" w:lineRule="exact"/>
              <w:rPr>
                <w:rFonts w:hint="eastAsia" w:ascii="宋体" w:hAnsi="宋体" w:cs="宋体"/>
                <w:spacing w:val="-1"/>
                <w:sz w:val="24"/>
              </w:rPr>
            </w:pPr>
          </w:p>
        </w:tc>
        <w:tc>
          <w:tcPr>
            <w:tcW w:w="7758" w:type="dxa"/>
            <w:noWrap w:val="0"/>
            <w:vAlign w:val="center"/>
          </w:tcPr>
          <w:p w14:paraId="1B234911">
            <w:pPr>
              <w:autoSpaceDE w:val="0"/>
              <w:autoSpaceDN w:val="0"/>
              <w:adjustRightInd w:val="0"/>
              <w:snapToGrid w:val="0"/>
              <w:spacing w:line="400" w:lineRule="exact"/>
              <w:rPr>
                <w:rFonts w:hint="eastAsia" w:ascii="宋体" w:hAnsi="宋体" w:cs="宋体"/>
                <w:spacing w:val="-1"/>
                <w:sz w:val="24"/>
                <w:szCs w:val="24"/>
                <w:lang w:val="de-DE" w:eastAsia="zh-CN"/>
              </w:rPr>
            </w:pPr>
            <w:r>
              <w:rPr>
                <w:rFonts w:hint="eastAsia" w:ascii="宋体" w:hAnsi="宋体" w:cs="宋体"/>
                <w:spacing w:val="-1"/>
                <w:sz w:val="24"/>
                <w:szCs w:val="24"/>
                <w:lang w:val="en-US" w:eastAsia="zh-CN"/>
              </w:rPr>
              <w:t>3</w:t>
            </w:r>
            <w:r>
              <w:rPr>
                <w:rFonts w:hint="eastAsia" w:ascii="宋体" w:hAnsi="宋体" w:cs="宋体"/>
                <w:spacing w:val="-1"/>
                <w:sz w:val="24"/>
                <w:szCs w:val="24"/>
                <w:lang w:val="de-DE" w:eastAsia="zh-CN"/>
              </w:rPr>
              <w:t>.</w:t>
            </w:r>
            <w:r>
              <w:rPr>
                <w:rFonts w:hint="eastAsia" w:ascii="宋体" w:hAnsi="宋体" w:cs="宋体"/>
                <w:spacing w:val="-1"/>
                <w:sz w:val="24"/>
                <w:szCs w:val="24"/>
                <w:lang w:val="en-US" w:eastAsia="zh-CN"/>
              </w:rPr>
              <w:t>C</w:t>
            </w:r>
            <w:r>
              <w:rPr>
                <w:rFonts w:hint="eastAsia" w:ascii="宋体" w:hAnsi="宋体" w:cs="宋体"/>
                <w:spacing w:val="-1"/>
                <w:sz w:val="24"/>
                <w:szCs w:val="24"/>
                <w:lang w:val="de-DE" w:eastAsia="zh-CN"/>
              </w:rPr>
              <w:t>需求：传动系统与现有种植机马达为同一校准体系。</w:t>
            </w:r>
            <w:r>
              <w:rPr>
                <w:rFonts w:hint="eastAsia" w:ascii="宋体" w:hAnsi="宋体" w:cs="宋体"/>
                <w:spacing w:val="-1"/>
                <w:sz w:val="24"/>
                <w:szCs w:val="24"/>
                <w:lang w:val="en-US" w:eastAsia="zh-CN"/>
              </w:rPr>
              <w:t>满足得</w:t>
            </w:r>
            <w:r>
              <w:rPr>
                <w:rFonts w:hint="default" w:ascii="宋体" w:hAnsi="宋体" w:cs="宋体"/>
                <w:spacing w:val="-1"/>
                <w:sz w:val="24"/>
                <w:szCs w:val="24"/>
                <w:lang w:val="en-US" w:eastAsia="zh-CN"/>
              </w:rPr>
              <w:t>30</w:t>
            </w:r>
            <w:r>
              <w:rPr>
                <w:rFonts w:hint="eastAsia" w:ascii="宋体" w:hAnsi="宋体" w:cs="宋体"/>
                <w:spacing w:val="-1"/>
                <w:sz w:val="24"/>
                <w:szCs w:val="24"/>
                <w:lang w:val="en-US" w:eastAsia="zh-CN"/>
              </w:rPr>
              <w:t>分，本项最高得</w:t>
            </w:r>
            <w:r>
              <w:rPr>
                <w:rFonts w:hint="default" w:ascii="宋体" w:hAnsi="宋体" w:cs="宋体"/>
                <w:spacing w:val="-1"/>
                <w:sz w:val="24"/>
                <w:szCs w:val="24"/>
                <w:lang w:val="en-US" w:eastAsia="zh-CN"/>
              </w:rPr>
              <w:t>30</w:t>
            </w:r>
            <w:r>
              <w:rPr>
                <w:rFonts w:hint="eastAsia" w:ascii="宋体" w:hAnsi="宋体" w:cs="宋体"/>
                <w:spacing w:val="-1"/>
                <w:sz w:val="24"/>
                <w:szCs w:val="24"/>
                <w:lang w:val="en-US" w:eastAsia="zh-CN"/>
              </w:rPr>
              <w:t>分。</w:t>
            </w:r>
          </w:p>
          <w:p w14:paraId="30C5A28B">
            <w:pPr>
              <w:autoSpaceDE w:val="0"/>
              <w:autoSpaceDN w:val="0"/>
              <w:adjustRightInd w:val="0"/>
              <w:snapToGrid w:val="0"/>
              <w:spacing w:line="400" w:lineRule="exact"/>
              <w:rPr>
                <w:rFonts w:hint="eastAsia" w:ascii="宋体" w:hAnsi="宋体" w:cs="宋体"/>
                <w:spacing w:val="-1"/>
                <w:sz w:val="24"/>
              </w:rPr>
            </w:pPr>
            <w:r>
              <w:rPr>
                <w:rFonts w:hint="eastAsia" w:ascii="宋体" w:hAnsi="宋体" w:cs="宋体"/>
                <w:b/>
                <w:bCs/>
                <w:spacing w:val="-1"/>
                <w:sz w:val="24"/>
                <w:szCs w:val="24"/>
              </w:rPr>
              <w:t>评审依据:</w:t>
            </w:r>
            <w:r>
              <w:rPr>
                <w:rFonts w:hint="eastAsia" w:ascii="宋体" w:hAnsi="宋体"/>
                <w:b/>
                <w:bCs/>
                <w:sz w:val="24"/>
                <w:szCs w:val="24"/>
              </w:rPr>
              <w:t>响应文件提供</w:t>
            </w:r>
            <w:r>
              <w:rPr>
                <w:rFonts w:hint="eastAsia" w:ascii="宋体" w:hAnsi="宋体" w:cs="宋体"/>
                <w:b/>
                <w:bCs/>
                <w:spacing w:val="-1"/>
                <w:sz w:val="24"/>
                <w:szCs w:val="24"/>
              </w:rPr>
              <w:t>设备生产厂家的技术白皮书或第三方检测机构出具的报告加盖生产厂家公章予以佐证</w:t>
            </w:r>
            <w:r>
              <w:rPr>
                <w:rFonts w:hint="eastAsia" w:ascii="宋体" w:hAnsi="宋体"/>
                <w:b/>
                <w:bCs/>
                <w:sz w:val="24"/>
                <w:szCs w:val="24"/>
              </w:rPr>
              <w:t>，未提供或提供不合格不得分。</w:t>
            </w:r>
          </w:p>
        </w:tc>
        <w:tc>
          <w:tcPr>
            <w:tcW w:w="1121" w:type="dxa"/>
            <w:noWrap w:val="0"/>
            <w:vAlign w:val="center"/>
          </w:tcPr>
          <w:p w14:paraId="7E11377D">
            <w:pPr>
              <w:autoSpaceDE w:val="0"/>
              <w:autoSpaceDN w:val="0"/>
              <w:adjustRightInd w:val="0"/>
              <w:snapToGrid w:val="0"/>
              <w:spacing w:line="400" w:lineRule="exact"/>
              <w:jc w:val="center"/>
              <w:rPr>
                <w:rFonts w:hint="eastAsia" w:ascii="宋体" w:hAnsi="宋体" w:cs="宋体"/>
                <w:b/>
                <w:bCs/>
                <w:sz w:val="24"/>
              </w:rPr>
            </w:pPr>
            <w:r>
              <w:rPr>
                <w:rFonts w:hint="eastAsia" w:ascii="宋体" w:hAnsi="宋体" w:cs="宋体"/>
                <w:b/>
                <w:bCs/>
                <w:sz w:val="24"/>
                <w:szCs w:val="24"/>
                <w:lang w:val="en-US" w:eastAsia="zh-CN"/>
              </w:rPr>
              <w:t>30</w:t>
            </w:r>
            <w:r>
              <w:rPr>
                <w:rFonts w:hint="eastAsia" w:ascii="宋体" w:hAnsi="宋体" w:cs="宋体"/>
                <w:b/>
                <w:bCs/>
                <w:sz w:val="24"/>
                <w:szCs w:val="24"/>
              </w:rPr>
              <w:t>分</w:t>
            </w:r>
          </w:p>
        </w:tc>
      </w:tr>
      <w:tr w14:paraId="74A27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0420" w:type="dxa"/>
            <w:gridSpan w:val="3"/>
            <w:noWrap w:val="0"/>
            <w:vAlign w:val="center"/>
          </w:tcPr>
          <w:p w14:paraId="5401CF28">
            <w:pPr>
              <w:autoSpaceDE w:val="0"/>
              <w:autoSpaceDN w:val="0"/>
              <w:adjustRightInd w:val="0"/>
              <w:snapToGrid w:val="0"/>
              <w:spacing w:line="400" w:lineRule="exact"/>
              <w:jc w:val="center"/>
              <w:rPr>
                <w:rFonts w:hint="eastAsia" w:ascii="宋体" w:hAnsi="宋体" w:cs="宋体"/>
                <w:b/>
                <w:bCs/>
                <w:sz w:val="24"/>
              </w:rPr>
            </w:pPr>
            <w:r>
              <w:rPr>
                <w:rFonts w:hint="eastAsia" w:ascii="宋体" w:hAnsi="宋体" w:cs="宋体"/>
                <w:b/>
                <w:bCs/>
                <w:sz w:val="24"/>
                <w:szCs w:val="24"/>
              </w:rPr>
              <w:t>（三）商务评审：（</w:t>
            </w:r>
            <w:r>
              <w:rPr>
                <w:rFonts w:hint="default" w:ascii="宋体" w:hAnsi="宋体" w:cs="宋体"/>
                <w:b/>
                <w:bCs/>
                <w:sz w:val="24"/>
                <w:szCs w:val="24"/>
                <w:lang w:val="en-US"/>
              </w:rPr>
              <w:t>25</w:t>
            </w:r>
            <w:r>
              <w:rPr>
                <w:rFonts w:hint="eastAsia" w:ascii="宋体" w:hAnsi="宋体" w:cs="宋体"/>
                <w:b/>
                <w:bCs/>
                <w:sz w:val="24"/>
                <w:szCs w:val="24"/>
              </w:rPr>
              <w:t>分)</w:t>
            </w:r>
          </w:p>
        </w:tc>
      </w:tr>
      <w:tr w14:paraId="0BD67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1541" w:type="dxa"/>
            <w:noWrap w:val="0"/>
            <w:vAlign w:val="center"/>
          </w:tcPr>
          <w:p w14:paraId="44D8F0D1">
            <w:pPr>
              <w:autoSpaceDE w:val="0"/>
              <w:autoSpaceDN w:val="0"/>
              <w:adjustRightInd w:val="0"/>
              <w:snapToGrid w:val="0"/>
              <w:spacing w:line="400" w:lineRule="exact"/>
              <w:jc w:val="center"/>
              <w:rPr>
                <w:rFonts w:hint="eastAsia" w:ascii="宋体" w:hAnsi="宋体" w:cs="宋体"/>
                <w:b/>
                <w:bCs/>
                <w:sz w:val="24"/>
              </w:rPr>
            </w:pPr>
            <w:r>
              <w:rPr>
                <w:rFonts w:hint="eastAsia" w:ascii="宋体" w:hAnsi="宋体" w:cs="宋体"/>
                <w:b/>
                <w:bCs/>
                <w:sz w:val="24"/>
                <w:szCs w:val="24"/>
              </w:rPr>
              <w:t>商务</w:t>
            </w:r>
          </w:p>
          <w:p w14:paraId="5A18E260">
            <w:pPr>
              <w:autoSpaceDE w:val="0"/>
              <w:autoSpaceDN w:val="0"/>
              <w:adjustRightInd w:val="0"/>
              <w:snapToGrid w:val="0"/>
              <w:spacing w:line="400" w:lineRule="exact"/>
              <w:jc w:val="center"/>
              <w:rPr>
                <w:rFonts w:hint="eastAsia" w:ascii="宋体" w:hAnsi="宋体" w:cs="宋体"/>
                <w:spacing w:val="-1"/>
                <w:sz w:val="24"/>
              </w:rPr>
            </w:pPr>
            <w:r>
              <w:rPr>
                <w:rFonts w:hint="eastAsia" w:ascii="宋体" w:hAnsi="宋体" w:cs="宋体"/>
                <w:b/>
                <w:bCs/>
                <w:sz w:val="24"/>
                <w:szCs w:val="24"/>
              </w:rPr>
              <w:t>条款</w:t>
            </w:r>
          </w:p>
        </w:tc>
        <w:tc>
          <w:tcPr>
            <w:tcW w:w="7758" w:type="dxa"/>
            <w:noWrap w:val="0"/>
            <w:vAlign w:val="center"/>
          </w:tcPr>
          <w:p w14:paraId="1F37E138">
            <w:pPr>
              <w:keepNext w:val="0"/>
              <w:keepLines w:val="0"/>
              <w:pageBreakBefore w:val="0"/>
              <w:widowControl w:val="0"/>
              <w:kinsoku/>
              <w:wordWrap/>
              <w:overflowPunct/>
              <w:topLinePunct w:val="0"/>
              <w:autoSpaceDE w:val="0"/>
              <w:autoSpaceDN w:val="0"/>
              <w:bidi w:val="0"/>
              <w:adjustRightInd w:val="0"/>
              <w:snapToGrid w:val="0"/>
              <w:spacing w:line="400" w:lineRule="exact"/>
              <w:jc w:val="both"/>
              <w:textAlignment w:val="auto"/>
              <w:rPr>
                <w:rFonts w:hint="eastAsia" w:ascii="宋体" w:hAnsi="宋体" w:cs="宋体"/>
                <w:sz w:val="24"/>
              </w:rPr>
            </w:pPr>
            <w:r>
              <w:rPr>
                <w:rFonts w:hint="eastAsia" w:ascii="宋体" w:hAnsi="宋体" w:cs="宋体"/>
                <w:sz w:val="24"/>
                <w:szCs w:val="24"/>
              </w:rPr>
              <w:t>完全响应磋商文件“第五章货物需求表及采购需求”二、商务条件中所有实质性条款，任何一项不满足投标无效。</w:t>
            </w:r>
          </w:p>
          <w:p w14:paraId="499B3BD9">
            <w:pPr>
              <w:keepNext w:val="0"/>
              <w:keepLines w:val="0"/>
              <w:pageBreakBefore w:val="0"/>
              <w:widowControl w:val="0"/>
              <w:kinsoku/>
              <w:wordWrap/>
              <w:overflowPunct/>
              <w:topLinePunct w:val="0"/>
              <w:autoSpaceDE w:val="0"/>
              <w:autoSpaceDN w:val="0"/>
              <w:bidi w:val="0"/>
              <w:adjustRightInd w:val="0"/>
              <w:snapToGrid w:val="0"/>
              <w:spacing w:line="400" w:lineRule="exact"/>
              <w:jc w:val="both"/>
              <w:textAlignment w:val="auto"/>
              <w:rPr>
                <w:rFonts w:hint="eastAsia" w:ascii="宋体" w:hAnsi="宋体" w:cs="宋体"/>
                <w:b/>
                <w:bCs/>
                <w:spacing w:val="-1"/>
                <w:sz w:val="24"/>
              </w:rPr>
            </w:pPr>
            <w:r>
              <w:rPr>
                <w:rFonts w:hint="eastAsia" w:ascii="宋体" w:hAnsi="宋体" w:cs="宋体"/>
                <w:b/>
                <w:bCs/>
                <w:sz w:val="24"/>
                <w:szCs w:val="24"/>
              </w:rPr>
              <w:t>评审依据：商务需求响应/偏离表。</w:t>
            </w:r>
          </w:p>
        </w:tc>
        <w:tc>
          <w:tcPr>
            <w:tcW w:w="1121" w:type="dxa"/>
            <w:noWrap w:val="0"/>
            <w:vAlign w:val="center"/>
          </w:tcPr>
          <w:p w14:paraId="5C2F0A22">
            <w:pPr>
              <w:autoSpaceDE w:val="0"/>
              <w:autoSpaceDN w:val="0"/>
              <w:adjustRightInd w:val="0"/>
              <w:snapToGrid w:val="0"/>
              <w:spacing w:line="400" w:lineRule="exact"/>
              <w:jc w:val="center"/>
              <w:rPr>
                <w:rFonts w:hint="eastAsia" w:ascii="宋体" w:hAnsi="宋体" w:cs="宋体"/>
                <w:b/>
                <w:bCs/>
                <w:sz w:val="24"/>
              </w:rPr>
            </w:pPr>
            <w:r>
              <w:rPr>
                <w:rFonts w:hint="eastAsia" w:ascii="宋体" w:hAnsi="宋体" w:cs="宋体"/>
                <w:b/>
                <w:bCs/>
                <w:sz w:val="24"/>
                <w:szCs w:val="24"/>
              </w:rPr>
              <w:t>符合性审查</w:t>
            </w:r>
          </w:p>
        </w:tc>
      </w:tr>
      <w:tr w14:paraId="43A76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1" w:type="dxa"/>
            <w:noWrap w:val="0"/>
            <w:vAlign w:val="center"/>
          </w:tcPr>
          <w:p w14:paraId="4AB19425">
            <w:pPr>
              <w:autoSpaceDE w:val="0"/>
              <w:autoSpaceDN w:val="0"/>
              <w:adjustRightInd w:val="0"/>
              <w:snapToGrid w:val="0"/>
              <w:spacing w:line="400" w:lineRule="exact"/>
              <w:jc w:val="center"/>
              <w:rPr>
                <w:rFonts w:hint="eastAsia" w:ascii="宋体" w:hAnsi="宋体" w:eastAsia="宋体" w:cs="宋体"/>
                <w:b/>
                <w:bCs/>
                <w:sz w:val="24"/>
                <w:szCs w:val="24"/>
                <w:lang w:eastAsia="zh-CN"/>
              </w:rPr>
            </w:pPr>
            <w:r>
              <w:rPr>
                <w:rFonts w:hint="eastAsia" w:ascii="宋体" w:hAnsi="宋体" w:cs="宋体"/>
                <w:b/>
                <w:bCs/>
                <w:sz w:val="24"/>
                <w:szCs w:val="24"/>
                <w:lang w:eastAsia="zh-CN"/>
              </w:rPr>
              <w:t>来源</w:t>
            </w:r>
            <w:r>
              <w:rPr>
                <w:rFonts w:hint="eastAsia" w:ascii="宋体" w:hAnsi="宋体" w:cs="宋体"/>
                <w:b/>
                <w:bCs/>
                <w:spacing w:val="-1"/>
                <w:sz w:val="24"/>
                <w:szCs w:val="24"/>
              </w:rPr>
              <w:t>（</w:t>
            </w:r>
            <w:r>
              <w:rPr>
                <w:rFonts w:hint="eastAsia" w:ascii="宋体" w:hAnsi="宋体" w:cs="宋体"/>
                <w:b/>
                <w:bCs/>
                <w:spacing w:val="-1"/>
                <w:sz w:val="24"/>
                <w:szCs w:val="24"/>
                <w:lang w:val="en-US" w:eastAsia="zh-CN"/>
              </w:rPr>
              <w:t>20</w:t>
            </w:r>
            <w:r>
              <w:rPr>
                <w:rFonts w:hint="eastAsia" w:ascii="宋体" w:hAnsi="宋体" w:cs="宋体"/>
                <w:b/>
                <w:bCs/>
                <w:spacing w:val="-1"/>
                <w:sz w:val="24"/>
                <w:szCs w:val="24"/>
              </w:rPr>
              <w:t>分）</w:t>
            </w:r>
          </w:p>
        </w:tc>
        <w:tc>
          <w:tcPr>
            <w:tcW w:w="7758" w:type="dxa"/>
            <w:noWrap w:val="0"/>
            <w:vAlign w:val="center"/>
          </w:tcPr>
          <w:p w14:paraId="32485B04">
            <w:pPr>
              <w:autoSpaceDE w:val="0"/>
              <w:autoSpaceDN w:val="0"/>
              <w:adjustRightInd w:val="0"/>
              <w:snapToGrid w:val="0"/>
              <w:spacing w:line="400" w:lineRule="exact"/>
              <w:rPr>
                <w:rFonts w:hint="eastAsia" w:ascii="宋体" w:hAnsi="宋体" w:eastAsia="宋体" w:cs="宋体"/>
                <w:sz w:val="24"/>
                <w:szCs w:val="24"/>
                <w:lang w:eastAsia="zh-CN"/>
              </w:rPr>
            </w:pPr>
            <w:r>
              <w:rPr>
                <w:rFonts w:hint="eastAsia" w:ascii="宋体" w:hAnsi="宋体" w:cs="宋体"/>
                <w:sz w:val="24"/>
                <w:szCs w:val="24"/>
              </w:rPr>
              <w:t>具有原种植机品牌原厂授权</w:t>
            </w:r>
            <w:r>
              <w:rPr>
                <w:rFonts w:hint="eastAsia" w:ascii="宋体" w:hAnsi="宋体" w:cs="宋体"/>
                <w:spacing w:val="-1"/>
                <w:sz w:val="24"/>
                <w:szCs w:val="24"/>
                <w:lang w:eastAsia="zh-CN"/>
              </w:rPr>
              <w:t>。</w:t>
            </w:r>
            <w:r>
              <w:rPr>
                <w:rFonts w:hint="eastAsia" w:ascii="宋体" w:hAnsi="宋体" w:cs="宋体"/>
                <w:sz w:val="24"/>
                <w:szCs w:val="24"/>
                <w:lang w:val="en-US" w:eastAsia="zh-CN"/>
              </w:rPr>
              <w:t>满足得</w:t>
            </w:r>
            <w:r>
              <w:rPr>
                <w:rFonts w:hint="default" w:ascii="宋体" w:hAnsi="宋体" w:cs="宋体"/>
                <w:sz w:val="24"/>
                <w:szCs w:val="24"/>
                <w:lang w:val="en-US" w:eastAsia="zh-CN"/>
              </w:rPr>
              <w:t>20</w:t>
            </w:r>
            <w:r>
              <w:rPr>
                <w:rFonts w:hint="eastAsia" w:ascii="宋体" w:hAnsi="宋体" w:cs="宋体"/>
                <w:sz w:val="24"/>
                <w:szCs w:val="24"/>
                <w:lang w:val="en-US" w:eastAsia="zh-CN"/>
              </w:rPr>
              <w:t>分，最高得</w:t>
            </w:r>
            <w:r>
              <w:rPr>
                <w:rFonts w:hint="default" w:ascii="宋体" w:hAnsi="宋体" w:cs="宋体"/>
                <w:sz w:val="24"/>
                <w:szCs w:val="24"/>
                <w:lang w:val="en-US" w:eastAsia="zh-CN"/>
              </w:rPr>
              <w:t>20</w:t>
            </w:r>
            <w:r>
              <w:rPr>
                <w:rFonts w:hint="eastAsia" w:ascii="宋体" w:hAnsi="宋体" w:cs="宋体"/>
                <w:sz w:val="24"/>
                <w:szCs w:val="24"/>
                <w:lang w:val="en-US" w:eastAsia="zh-CN"/>
              </w:rPr>
              <w:t>分。</w:t>
            </w:r>
          </w:p>
        </w:tc>
        <w:tc>
          <w:tcPr>
            <w:tcW w:w="1121" w:type="dxa"/>
            <w:noWrap w:val="0"/>
            <w:vAlign w:val="center"/>
          </w:tcPr>
          <w:p w14:paraId="6850C23E">
            <w:pPr>
              <w:autoSpaceDE w:val="0"/>
              <w:autoSpaceDN w:val="0"/>
              <w:adjustRightInd w:val="0"/>
              <w:snapToGrid w:val="0"/>
              <w:spacing w:line="400" w:lineRule="exact"/>
              <w:ind w:firstLine="241" w:firstLineChars="100"/>
              <w:jc w:val="left"/>
              <w:rPr>
                <w:rFonts w:hint="eastAsia" w:ascii="宋体" w:hAnsi="宋体" w:eastAsia="宋体" w:cs="宋体"/>
                <w:b/>
                <w:bCs/>
                <w:sz w:val="24"/>
                <w:szCs w:val="24"/>
                <w:lang w:val="en-US" w:eastAsia="zh-CN"/>
              </w:rPr>
            </w:pPr>
            <w:r>
              <w:rPr>
                <w:rFonts w:hint="default" w:ascii="宋体" w:hAnsi="宋体" w:eastAsia="宋体" w:cs="宋体"/>
                <w:b/>
                <w:bCs/>
                <w:sz w:val="24"/>
                <w:szCs w:val="24"/>
                <w:lang w:val="en-US" w:eastAsia="zh-CN"/>
              </w:rPr>
              <w:t>20</w:t>
            </w:r>
            <w:r>
              <w:rPr>
                <w:rFonts w:hint="eastAsia" w:ascii="宋体" w:hAnsi="宋体" w:eastAsia="宋体" w:cs="宋体"/>
                <w:b/>
                <w:bCs/>
                <w:sz w:val="24"/>
                <w:szCs w:val="24"/>
                <w:lang w:val="en-US" w:eastAsia="zh-CN"/>
              </w:rPr>
              <w:t>分</w:t>
            </w:r>
          </w:p>
        </w:tc>
      </w:tr>
      <w:tr w14:paraId="5B768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541" w:type="dxa"/>
            <w:noWrap w:val="0"/>
            <w:vAlign w:val="center"/>
          </w:tcPr>
          <w:p w14:paraId="0B6223C9">
            <w:pPr>
              <w:autoSpaceDE w:val="0"/>
              <w:autoSpaceDN w:val="0"/>
              <w:adjustRightInd w:val="0"/>
              <w:snapToGrid w:val="0"/>
              <w:spacing w:line="400" w:lineRule="exact"/>
              <w:jc w:val="center"/>
              <w:rPr>
                <w:rFonts w:hint="eastAsia" w:ascii="宋体" w:hAnsi="宋体" w:cs="宋体"/>
                <w:b/>
                <w:bCs/>
                <w:sz w:val="24"/>
              </w:rPr>
            </w:pPr>
            <w:r>
              <w:rPr>
                <w:rFonts w:hint="eastAsia" w:ascii="宋体" w:hAnsi="宋体" w:cs="宋体"/>
                <w:b/>
                <w:bCs/>
                <w:sz w:val="24"/>
                <w:szCs w:val="24"/>
              </w:rPr>
              <w:t>业绩(</w:t>
            </w:r>
            <w:r>
              <w:rPr>
                <w:rFonts w:hint="default" w:ascii="宋体" w:hAnsi="宋体" w:cs="宋体"/>
                <w:b/>
                <w:bCs/>
                <w:sz w:val="24"/>
                <w:szCs w:val="24"/>
                <w:lang w:val="en-US"/>
              </w:rPr>
              <w:t>5</w:t>
            </w:r>
            <w:r>
              <w:rPr>
                <w:rFonts w:hint="eastAsia" w:ascii="宋体" w:hAnsi="宋体" w:cs="宋体"/>
                <w:b/>
                <w:bCs/>
                <w:sz w:val="24"/>
                <w:szCs w:val="24"/>
              </w:rPr>
              <w:t>分)</w:t>
            </w:r>
          </w:p>
        </w:tc>
        <w:tc>
          <w:tcPr>
            <w:tcW w:w="7758" w:type="dxa"/>
            <w:noWrap w:val="0"/>
            <w:vAlign w:val="center"/>
          </w:tcPr>
          <w:p w14:paraId="7A79CAA9">
            <w:pPr>
              <w:keepNext w:val="0"/>
              <w:keepLines w:val="0"/>
              <w:pageBreakBefore w:val="0"/>
              <w:widowControl/>
              <w:kinsoku/>
              <w:wordWrap/>
              <w:overflowPunct/>
              <w:topLinePunct w:val="0"/>
              <w:autoSpaceDE w:val="0"/>
              <w:autoSpaceDN w:val="0"/>
              <w:bidi w:val="0"/>
              <w:adjustRightInd w:val="0"/>
              <w:snapToGrid w:val="0"/>
              <w:spacing w:line="400" w:lineRule="exact"/>
              <w:textAlignment w:val="auto"/>
              <w:rPr>
                <w:rFonts w:hint="eastAsia" w:ascii="宋体" w:hAnsi="宋体" w:cs="宋体"/>
                <w:spacing w:val="-1"/>
                <w:sz w:val="24"/>
              </w:rPr>
            </w:pPr>
            <w:r>
              <w:rPr>
                <w:rFonts w:hint="eastAsia" w:ascii="宋体" w:hAnsi="宋体" w:cs="宋体"/>
                <w:spacing w:val="-1"/>
                <w:sz w:val="24"/>
                <w:szCs w:val="24"/>
              </w:rPr>
              <w:t>供应商提供2020年</w:t>
            </w:r>
            <w:r>
              <w:rPr>
                <w:rFonts w:hint="eastAsia" w:ascii="宋体" w:hAnsi="宋体" w:cs="宋体"/>
                <w:spacing w:val="-1"/>
                <w:sz w:val="24"/>
                <w:szCs w:val="24"/>
                <w:lang w:eastAsia="zh-CN"/>
              </w:rPr>
              <w:t>（以</w:t>
            </w:r>
            <w:r>
              <w:rPr>
                <w:rFonts w:hint="eastAsia" w:ascii="宋体" w:hAnsi="宋体" w:cs="宋体"/>
                <w:spacing w:val="-1"/>
                <w:sz w:val="24"/>
                <w:szCs w:val="24"/>
              </w:rPr>
              <w:t>合同签订时间为准）至磋商截止时间至具有内类似项目业绩，每提供一份得</w:t>
            </w:r>
            <w:r>
              <w:rPr>
                <w:rFonts w:hint="default" w:ascii="宋体" w:hAnsi="宋体" w:cs="宋体"/>
                <w:spacing w:val="-1"/>
                <w:sz w:val="24"/>
                <w:szCs w:val="24"/>
                <w:lang w:val="en-US"/>
              </w:rPr>
              <w:t>2.5</w:t>
            </w:r>
            <w:r>
              <w:rPr>
                <w:rFonts w:hint="eastAsia" w:ascii="宋体" w:hAnsi="宋体" w:cs="宋体"/>
                <w:spacing w:val="-1"/>
                <w:sz w:val="24"/>
                <w:szCs w:val="24"/>
              </w:rPr>
              <w:t>分，最高得</w:t>
            </w:r>
            <w:r>
              <w:rPr>
                <w:rFonts w:hint="default" w:ascii="宋体" w:hAnsi="宋体" w:cs="宋体"/>
                <w:spacing w:val="-1"/>
                <w:sz w:val="24"/>
                <w:szCs w:val="24"/>
                <w:lang w:val="en-US"/>
              </w:rPr>
              <w:t>5</w:t>
            </w:r>
            <w:r>
              <w:rPr>
                <w:rFonts w:hint="eastAsia" w:ascii="宋体" w:hAnsi="宋体" w:cs="宋体"/>
                <w:spacing w:val="-1"/>
                <w:sz w:val="24"/>
                <w:szCs w:val="24"/>
              </w:rPr>
              <w:t>分。</w:t>
            </w:r>
          </w:p>
          <w:p w14:paraId="7DC29977">
            <w:pPr>
              <w:widowControl/>
              <w:autoSpaceDE w:val="0"/>
              <w:autoSpaceDN w:val="0"/>
              <w:adjustRightInd w:val="0"/>
              <w:snapToGrid w:val="0"/>
              <w:spacing w:line="400" w:lineRule="exact"/>
              <w:rPr>
                <w:rFonts w:hint="eastAsia" w:ascii="宋体" w:hAnsi="宋体" w:cs="宋体"/>
                <w:spacing w:val="-1"/>
                <w:sz w:val="24"/>
              </w:rPr>
            </w:pPr>
            <w:r>
              <w:rPr>
                <w:rFonts w:hint="eastAsia" w:ascii="宋体" w:hAnsi="宋体" w:cs="宋体"/>
                <w:b/>
                <w:bCs/>
                <w:spacing w:val="-1"/>
                <w:sz w:val="24"/>
                <w:szCs w:val="24"/>
              </w:rPr>
              <w:t>评审依据：</w:t>
            </w:r>
            <w:r>
              <w:rPr>
                <w:rFonts w:hint="eastAsia" w:ascii="宋体" w:hAnsi="宋体"/>
                <w:b/>
                <w:bCs/>
                <w:sz w:val="24"/>
                <w:szCs w:val="24"/>
              </w:rPr>
              <w:t>响应文件</w:t>
            </w:r>
            <w:r>
              <w:rPr>
                <w:rFonts w:hint="eastAsia" w:ascii="宋体" w:hAnsi="宋体" w:cs="宋体"/>
                <w:b/>
                <w:bCs/>
                <w:spacing w:val="-1"/>
                <w:sz w:val="24"/>
                <w:szCs w:val="24"/>
              </w:rPr>
              <w:t>提供业绩中标通知书或者合同予以佐证，</w:t>
            </w:r>
            <w:r>
              <w:rPr>
                <w:rFonts w:hint="eastAsia" w:ascii="宋体" w:hAnsi="宋体"/>
                <w:b/>
                <w:bCs/>
                <w:sz w:val="24"/>
                <w:szCs w:val="24"/>
              </w:rPr>
              <w:t>未提供或提供不合格不得分。</w:t>
            </w:r>
          </w:p>
        </w:tc>
        <w:tc>
          <w:tcPr>
            <w:tcW w:w="1121" w:type="dxa"/>
            <w:noWrap w:val="0"/>
            <w:vAlign w:val="center"/>
          </w:tcPr>
          <w:p w14:paraId="5D0095F2">
            <w:pPr>
              <w:widowControl/>
              <w:autoSpaceDE w:val="0"/>
              <w:autoSpaceDN w:val="0"/>
              <w:adjustRightInd w:val="0"/>
              <w:snapToGrid w:val="0"/>
              <w:spacing w:line="400" w:lineRule="exact"/>
              <w:jc w:val="center"/>
              <w:rPr>
                <w:rFonts w:hint="eastAsia" w:ascii="宋体" w:hAnsi="宋体" w:cs="宋体"/>
                <w:spacing w:val="-1"/>
                <w:sz w:val="24"/>
              </w:rPr>
            </w:pPr>
            <w:r>
              <w:rPr>
                <w:rFonts w:hint="default" w:ascii="宋体" w:hAnsi="宋体" w:eastAsia="宋体" w:cs="宋体"/>
                <w:b/>
                <w:bCs/>
                <w:sz w:val="24"/>
                <w:szCs w:val="24"/>
                <w:lang w:val="en-US" w:eastAsia="zh-CN"/>
              </w:rPr>
              <w:t>5</w:t>
            </w:r>
            <w:r>
              <w:rPr>
                <w:rFonts w:hint="eastAsia" w:ascii="宋体" w:hAnsi="宋体" w:eastAsia="宋体" w:cs="宋体"/>
                <w:b/>
                <w:bCs/>
                <w:sz w:val="24"/>
                <w:szCs w:val="24"/>
                <w:lang w:val="en-US" w:eastAsia="zh-CN"/>
              </w:rPr>
              <w:t>分</w:t>
            </w:r>
          </w:p>
        </w:tc>
      </w:tr>
    </w:tbl>
    <w:p w14:paraId="6F35BEE2">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pacing w:val="-15"/>
          <w:sz w:val="32"/>
          <w:szCs w:val="32"/>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776A7F"/>
    <w:multiLevelType w:val="singleLevel"/>
    <w:tmpl w:val="AD776A7F"/>
    <w:lvl w:ilvl="0" w:tentative="0">
      <w:start w:val="1"/>
      <w:numFmt w:val="chineseCounting"/>
      <w:suff w:val="nothing"/>
      <w:lvlText w:val="%1、"/>
      <w:lvlJc w:val="left"/>
      <w:rPr>
        <w:rFonts w:hint="eastAsia"/>
      </w:rPr>
    </w:lvl>
  </w:abstractNum>
  <w:abstractNum w:abstractNumId="1">
    <w:nsid w:val="0B8016AE"/>
    <w:multiLevelType w:val="singleLevel"/>
    <w:tmpl w:val="0B8016AE"/>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9F76C9"/>
    <w:rsid w:val="0F920C72"/>
    <w:rsid w:val="31F671D4"/>
    <w:rsid w:val="3DB7713F"/>
    <w:rsid w:val="412B15D8"/>
    <w:rsid w:val="449B1E09"/>
    <w:rsid w:val="4C5A529F"/>
    <w:rsid w:val="4C9D00C0"/>
    <w:rsid w:val="546E049A"/>
    <w:rsid w:val="584D6590"/>
    <w:rsid w:val="5E991CEC"/>
    <w:rsid w:val="5F0E7944"/>
    <w:rsid w:val="62675F7F"/>
    <w:rsid w:val="67443B4A"/>
    <w:rsid w:val="6C755C79"/>
    <w:rsid w:val="72054D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Table Text"/>
    <w:basedOn w:val="1"/>
    <w:qFormat/>
    <w:uiPriority w:val="0"/>
    <w:rPr>
      <w:rFonts w:ascii="微软雅黑" w:hAnsi="微软雅黑" w:eastAsia="微软雅黑" w:cs="微软雅黑"/>
      <w:sz w:val="31"/>
      <w:szCs w:val="31"/>
      <w:lang w:val="en-US" w:eastAsia="en-US" w:bidi="ar-SA"/>
    </w:rPr>
  </w:style>
  <w:style w:type="table" w:customStyle="1" w:styleId="5">
    <w:name w:val="Table Normal"/>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1636</Words>
  <Characters>1795</Characters>
  <Lines>0</Lines>
  <Paragraphs>0</Paragraphs>
  <TotalTime>8</TotalTime>
  <ScaleCrop>false</ScaleCrop>
  <LinksUpToDate>false</LinksUpToDate>
  <CharactersWithSpaces>1838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2026-08-21T10:34:00Z</dcterms:created>
  <dc:creator>Administrator</dc:creator>
  <cp:lastModifiedBy>南方天</cp:lastModifiedBy>
  <dcterms:modified xsi:type="dcterms:W3CDTF">2026-08-28T08:28:11Z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eyJoZGlkIjoiZWRiZTA0OWJjZjFhNTA3MjAxZjQ5YjM3MjgzZDM5OTgiLCJ1c2VySWQiOiIzMTYyODU1OTQifQ==</vt:lpwstr>
  </property>
  <property fmtid="{D5CDD505-2E9C-101B-9397-08002B2CF9AE}" pid="4" name="ICV">
    <vt:lpwstr>6256AE53C8C14AA2BA5445735E77435E_12</vt:lpwstr>
  </property>
</Properties>
</file>