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E77D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赣南医科大学第三附属医院常年法律顾问服务项目材料</w:t>
      </w:r>
    </w:p>
    <w:p w14:paraId="254DD7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047678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bookmarkStart w:id="0" w:name="heading_0"/>
      <w:r>
        <w:rPr>
          <w:rFonts w:hint="eastAsia" w:ascii="黑体" w:hAnsi="黑体" w:eastAsia="黑体" w:cs="黑体"/>
          <w:sz w:val="32"/>
          <w:szCs w:val="32"/>
        </w:rPr>
        <w:t>一、项目名称</w:t>
      </w:r>
      <w:bookmarkEnd w:id="0"/>
    </w:p>
    <w:p w14:paraId="2B74D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赣南医科大学第三附属医院常年法律顾问服务项目</w:t>
      </w:r>
    </w:p>
    <w:p w14:paraId="1479A0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bookmarkStart w:id="1" w:name="heading_2"/>
      <w:r>
        <w:rPr>
          <w:rFonts w:hint="eastAsia" w:ascii="黑体" w:hAnsi="黑体" w:eastAsia="黑体" w:cs="黑体"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、项目预算</w:t>
      </w:r>
      <w:bookmarkEnd w:id="1"/>
    </w:p>
    <w:p w14:paraId="39BCD1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本项目采用两年总包干含税模式，预算合计人民币49000元。</w:t>
      </w:r>
    </w:p>
    <w:p w14:paraId="3A3EBF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bookmarkStart w:id="2" w:name="heading_6"/>
      <w:r>
        <w:rPr>
          <w:rFonts w:hint="eastAsia" w:ascii="黑体" w:hAnsi="黑体" w:eastAsia="黑体" w:cs="黑体"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黑体"/>
          <w:sz w:val="32"/>
          <w:szCs w:val="32"/>
        </w:rPr>
        <w:t>、服务需求文件</w:t>
      </w:r>
      <w:bookmarkEnd w:id="2"/>
    </w:p>
    <w:p w14:paraId="454B5E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3" w:name="heading_7"/>
      <w:r>
        <w:rPr>
          <w:rFonts w:hint="eastAsia" w:ascii="仿宋_GB2312" w:hAnsi="仿宋_GB2312" w:eastAsia="仿宋_GB2312" w:cs="仿宋_GB2312"/>
          <w:sz w:val="32"/>
          <w:szCs w:val="32"/>
        </w:rPr>
        <w:t>1.实质性基础资格条件（任意一项不满足，响应文件直接无效）</w:t>
      </w:r>
      <w:bookmarkEnd w:id="3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66E850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4" w:name="heading_8"/>
      <w:r>
        <w:rPr>
          <w:rFonts w:hint="eastAsia" w:ascii="仿宋_GB2312" w:hAnsi="仿宋_GB2312" w:eastAsia="仿宋_GB2312" w:cs="仿宋_GB2312"/>
          <w:sz w:val="32"/>
          <w:szCs w:val="32"/>
        </w:rPr>
        <w:t>2.服务模式</w:t>
      </w:r>
      <w:bookmarkEnd w:id="4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52FCA2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Theme="minorEastAsia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实行两年全费用包干制。服务期内调解、仲裁、诉讼、执行案件不再另行计收律师代理费；行政规费、鉴定费、赣州市区以外差旅费等第三方产生的实支费用，由医院据实承担。供应商须书面承诺为医院高频非诉事项提供免费延伸法律服务，投标报价函必须明确两年全诉讼包干服务范围，未作出两年全诉讼包干承诺的，直接判定投标响应无效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2FE50B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5" w:name="heading_9"/>
      <w:r>
        <w:rPr>
          <w:rFonts w:hint="eastAsia" w:ascii="仿宋_GB2312" w:hAnsi="仿宋_GB2312" w:eastAsia="仿宋_GB2312" w:cs="仿宋_GB2312"/>
          <w:sz w:val="32"/>
          <w:szCs w:val="32"/>
        </w:rPr>
        <w:t>3.人员配置</w:t>
      </w:r>
      <w:bookmarkEnd w:id="5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1FC09C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Theme="minorEastAsia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用双主办律师团队服务模式。2名主办律师须持有有效律师执业证，执业年限3年及以上；至少1名主办律师具备公立医院法律顾问实务服务经验。确需更换主办律师的，须提前30日向医院提交书面报备，替补律师资质不得低于原主办律师，更换须取得医院书面同意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0F1620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6" w:name="heading_10"/>
      <w:r>
        <w:rPr>
          <w:rFonts w:hint="eastAsia" w:ascii="仿宋_GB2312" w:hAnsi="仿宋_GB2312" w:eastAsia="仿宋_GB2312" w:cs="仿宋_GB2312"/>
          <w:sz w:val="32"/>
          <w:szCs w:val="32"/>
        </w:rPr>
        <w:t>4.主体及资质</w:t>
      </w:r>
      <w:bookmarkEnd w:id="6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47D3F5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Theme="minorEastAsia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律师事务所须为赣州市本地注册，在赣州市区内设有固定办公场所；本项目不接受联合体报价，严禁本项目法律服务转包、分包。律所及指派服务律师近3年不存在失信记录，无司法行政机关、律师协会作出的处罚惩戒记录；供应商须提交无利益冲突书面承诺书、保密义务承诺书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3E4949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7" w:name="heading_11"/>
      <w:r>
        <w:rPr>
          <w:rFonts w:hint="eastAsia" w:ascii="仿宋_GB2312" w:hAnsi="仿宋_GB2312" w:eastAsia="仿宋_GB2312" w:cs="仿宋_GB2312"/>
          <w:sz w:val="32"/>
          <w:szCs w:val="32"/>
        </w:rPr>
        <w:t>5.包干范围承诺</w:t>
      </w:r>
      <w:bookmarkEnd w:id="7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3C6E7B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Theme="minorEastAsia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供应商须在响应文件中明确作出两年全诉讼包干服务承诺，未作出该承诺的，响应直接判定无效。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3ADDC7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eastAsia="zh-CN"/>
        </w:rPr>
      </w:pPr>
      <w:bookmarkStart w:id="8" w:name="heading_12"/>
      <w:r>
        <w:rPr>
          <w:rFonts w:hint="eastAsia" w:ascii="楷体" w:hAnsi="楷体" w:eastAsia="楷体" w:cs="楷体"/>
          <w:sz w:val="32"/>
          <w:szCs w:val="32"/>
        </w:rPr>
        <w:t>（一）详细服务内容</w:t>
      </w:r>
      <w:bookmarkEnd w:id="8"/>
      <w:r>
        <w:rPr>
          <w:rFonts w:hint="eastAsia" w:ascii="楷体" w:hAnsi="楷体" w:eastAsia="楷体" w:cs="楷体"/>
          <w:sz w:val="32"/>
          <w:szCs w:val="32"/>
          <w:lang w:eastAsia="zh-CN"/>
        </w:rPr>
        <w:t xml:space="preserve">  </w:t>
      </w:r>
    </w:p>
    <w:p w14:paraId="51A31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日常法律咨询：针对医院运营管理、合同履约、人事劳资、医患沟通等各类法律问题，提供不限次数法律咨询服务。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554677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重大事项合规审查：针对采购、基建工程、对外合作等重大决策事项出具书面合法性审查意见，根据医院工作需要参与商务谈判。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72936E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法律文书审核：起草、修订、审核医院经济合同、对外公函、内部管理制度等法律文件，并出具书面审核意见。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4865DD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纠纷案件代理：全权代理医院各类民事争议、劳动争议、医患纠纷的调解、仲裁、诉讼、执行全流程法律事务。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18A151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非诉讼事务处理：根据医院要求出具律师函，开展内部制度合规梳理、法律风险排查。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115098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普法培训服务：每年度至少组织2次全院性法律专题普法培训，按需开展科室专项普法宣讲。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740B95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</w:rPr>
        <w:t>突发事件应急处置：针对突发医患纠纷、群体性事件等紧急情况，提供现场应急法律支持。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61C447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工作台账管理：建立本项目专项法律服务档案，按季度向医院报送法律服务工作简报。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1860F9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eastAsia="zh-CN"/>
        </w:rPr>
      </w:pPr>
      <w:bookmarkStart w:id="9" w:name="heading_13"/>
      <w:r>
        <w:rPr>
          <w:rFonts w:hint="eastAsia" w:ascii="楷体" w:hAnsi="楷体" w:eastAsia="楷体" w:cs="楷体"/>
          <w:sz w:val="32"/>
          <w:szCs w:val="32"/>
        </w:rPr>
        <w:t>（二）技术规格</w:t>
      </w:r>
      <w:bookmarkEnd w:id="9"/>
      <w:r>
        <w:rPr>
          <w:rFonts w:hint="eastAsia" w:ascii="楷体" w:hAnsi="楷体" w:eastAsia="楷体" w:cs="楷体"/>
          <w:sz w:val="32"/>
          <w:szCs w:val="32"/>
          <w:lang w:eastAsia="zh-CN"/>
        </w:rPr>
        <w:t xml:space="preserve">  </w:t>
      </w:r>
    </w:p>
    <w:p w14:paraId="557056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服务模式：执行两年全费用包干，服务期内调解、仲裁、诉讼、执行案件不再另行收取律师代理费；行政规费、鉴定费、赣州市区以外差旅费等第三方实支费用由医院据实承担。投标报价函必须明确两年全诉讼包干服务范围，未作出两年全诉讼包干承诺的，直接判定投标响应无效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51B4AD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人员配置：落实双主办律师模式，未经医院书面许可，不得擅自更换主办律师。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72C9BD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响应机制：建立分级响应通道，明确不同等级事项的响应时限及现场处置要求。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63D23E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档案管理：法律服务全流程留痕归档，落实一案一档、一文一档，设立本项目专属服务台账。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30B714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eastAsia="zh-CN"/>
        </w:rPr>
      </w:pPr>
      <w:bookmarkStart w:id="10" w:name="heading_14"/>
      <w:r>
        <w:rPr>
          <w:rFonts w:hint="eastAsia" w:ascii="楷体" w:hAnsi="楷体" w:eastAsia="楷体" w:cs="楷体"/>
          <w:sz w:val="32"/>
          <w:szCs w:val="32"/>
        </w:rPr>
        <w:t>（三）服务标准</w:t>
      </w:r>
      <w:bookmarkEnd w:id="10"/>
      <w:r>
        <w:rPr>
          <w:rFonts w:hint="eastAsia" w:ascii="楷体" w:hAnsi="楷体" w:eastAsia="楷体" w:cs="楷体"/>
          <w:sz w:val="32"/>
          <w:szCs w:val="32"/>
          <w:lang w:eastAsia="zh-CN"/>
        </w:rPr>
        <w:t xml:space="preserve">  </w:t>
      </w:r>
    </w:p>
    <w:p w14:paraId="4D8624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咨询响应标准（1）紧急事项（突发纠纷、群体性事件、行政突击检查）：2小时内响应，赣州市城区范围内4小时内抵达现场处置；（2）重要事项（重大合同审核、诉讼案件对接）：2小时内响应，3个工作日内出具正式书面法律意见；（3）普通咨询事项：工作日4小时内响应，简单咨询当日完成答复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04B074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培训标准：每年度开展不少于2次线下专题普法培训，同步交付完整培训课件。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1BFACE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保密标准：对医院业务信息、内部管理资料、患者个人隐私承担永久保密义务；服务期内，未经医院书面许可，不得代理与本院存在利益冲突的相对方案件。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4BEE51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人员替补标准：主办律师无法正常履职时，由备用律师无缝承接工作，服务质量、响应时效不得降低。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33F7B5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eastAsia="zh-CN"/>
        </w:rPr>
      </w:pPr>
      <w:bookmarkStart w:id="11" w:name="heading_15"/>
      <w:r>
        <w:rPr>
          <w:rFonts w:hint="eastAsia" w:ascii="楷体" w:hAnsi="楷体" w:eastAsia="楷体" w:cs="楷体"/>
          <w:sz w:val="32"/>
          <w:szCs w:val="32"/>
        </w:rPr>
        <w:t>（四）服务商资质要求</w:t>
      </w:r>
      <w:bookmarkEnd w:id="11"/>
      <w:r>
        <w:rPr>
          <w:rFonts w:hint="eastAsia" w:ascii="楷体" w:hAnsi="楷体" w:eastAsia="楷体" w:cs="楷体"/>
          <w:sz w:val="32"/>
          <w:szCs w:val="32"/>
          <w:lang w:eastAsia="zh-CN"/>
        </w:rPr>
        <w:t xml:space="preserve">  </w:t>
      </w:r>
    </w:p>
    <w:p w14:paraId="7EBB64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为赣州市本地注册律师事务所，持有有效的《律师事务所执业许可证》，赣州市区内设有固定办公场所，可满足快速现场响应要求；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46252D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具备公立医院常年法律顾问服务实务经验（须提供服务合同等佐证材料）；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3C5728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拟派驻主办律师持有有效律师执业证，执业年限3年以上，无司法行政机关、律师协会处罚惩戒记录；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317BD8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律所及项目服务律师近3年无失信记录，未列入信用中国失信被执行人名单；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1C46AC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不接受联合体报价，严禁转包、分包本项目法律服务；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3542CA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与医院不存在利益冲突，须提交无利益冲突书面承诺书。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103FB2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eastAsia="zh-CN"/>
        </w:rPr>
      </w:pPr>
      <w:bookmarkStart w:id="12" w:name="heading_16"/>
      <w:r>
        <w:rPr>
          <w:rFonts w:hint="eastAsia" w:ascii="楷体" w:hAnsi="楷体" w:eastAsia="楷体" w:cs="楷体"/>
          <w:sz w:val="32"/>
          <w:szCs w:val="32"/>
        </w:rPr>
        <w:t>（五）交付时间及地点</w:t>
      </w:r>
      <w:bookmarkEnd w:id="12"/>
      <w:r>
        <w:rPr>
          <w:rFonts w:hint="eastAsia" w:ascii="楷体" w:hAnsi="楷体" w:eastAsia="楷体" w:cs="楷体"/>
          <w:sz w:val="32"/>
          <w:szCs w:val="32"/>
          <w:lang w:eastAsia="zh-CN"/>
        </w:rPr>
        <w:t xml:space="preserve">  </w:t>
      </w:r>
    </w:p>
    <w:p w14:paraId="0F7C62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交付时间：合同生效当日启动全部约定法律服务；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75AB17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交付地点：主要服务地点为赣南医科大学第三附属医院院内，同时支持微信、邮箱等线上渠道开展服务；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3CD32E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成果交付：法律意见书、合同审核修订稿、律师函、培训课件、工作简报等工作成果，以电子文档＋纸质版双份形式提交至医务科。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0A35D8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eastAsia="zh-CN"/>
        </w:rPr>
      </w:pPr>
      <w:bookmarkStart w:id="13" w:name="heading_17"/>
      <w:r>
        <w:rPr>
          <w:rFonts w:hint="eastAsia" w:ascii="楷体" w:hAnsi="楷体" w:eastAsia="楷体" w:cs="楷体"/>
          <w:sz w:val="32"/>
          <w:szCs w:val="32"/>
        </w:rPr>
        <w:t>（六）服务期限、考核、费用支付及合同终止</w:t>
      </w:r>
      <w:bookmarkEnd w:id="13"/>
      <w:r>
        <w:rPr>
          <w:rFonts w:hint="eastAsia" w:ascii="楷体" w:hAnsi="楷体" w:eastAsia="楷体" w:cs="楷体"/>
          <w:sz w:val="32"/>
          <w:szCs w:val="32"/>
          <w:lang w:eastAsia="zh-CN"/>
        </w:rPr>
        <w:t xml:space="preserve">  </w:t>
      </w:r>
    </w:p>
    <w:p w14:paraId="77185B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服务期限：项目服务周期2年，自合同约定服务起始日起算。合同到期前，双方可结合年度考核结果协商续约事宜。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0D1301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考核管理：服务期内每年开展2次考核（半年考核），考核等级分为优秀、合格、不合格。考核维度包含服务响应时效、法律服务质量、纠纷处置成效、文书质量、普法培训落实、履约配合度等。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见附件1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） </w:t>
      </w:r>
    </w:p>
    <w:p w14:paraId="62378E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考核结果为优秀、合格：按合同约定正常支付服务费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E3962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考核结果为不合格：医院有权要求服务商限期整改，并视整改情况扣减当期服务费；连续两次考核不合格，医院可单方解除合同，不承担违约责任。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75BFA0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Theme="minorEastAsia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费用支付：服务商于每个结算周期考核完成后，开具对应金额的合法有效增值税发票；医院收到合规发票后30个工作日内完成付款。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  </w:t>
      </w:r>
    </w:p>
    <w:p w14:paraId="3759BE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bookmarkStart w:id="14" w:name="heading_19"/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、评分方法</w:t>
      </w:r>
      <w:bookmarkEnd w:id="14"/>
      <w:r>
        <w:rPr>
          <w:rFonts w:hint="eastAsia" w:ascii="黑体" w:hAnsi="黑体" w:eastAsia="黑体" w:cs="黑体"/>
          <w:sz w:val="32"/>
          <w:szCs w:val="32"/>
          <w:lang w:eastAsia="zh-CN"/>
        </w:rPr>
        <w:t xml:space="preserve">  </w:t>
      </w:r>
    </w:p>
    <w:p w14:paraId="6A16B7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本项目采用综合评分法。资格条件为实质性门槛，不满足即判定响应无效，不参与评审打分；全部评审项实行正向计分，无倒扣分项，总分100分。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见附件2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）  </w:t>
      </w:r>
      <w:bookmarkStart w:id="15" w:name="heading_20"/>
    </w:p>
    <w:p w14:paraId="79FFB4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附件：1.考核评分细则</w:t>
      </w:r>
    </w:p>
    <w:p w14:paraId="56965A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2.综合评分标准</w:t>
      </w:r>
      <w:bookmarkEnd w:id="15"/>
    </w:p>
    <w:p w14:paraId="674AC8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</w:t>
      </w:r>
    </w:p>
    <w:p w14:paraId="62E9C8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考核评分细则（总分100分）</w:t>
      </w:r>
    </w:p>
    <w:tbl>
      <w:tblPr>
        <w:tblStyle w:val="4"/>
        <w:tblW w:w="9752" w:type="dxa"/>
        <w:jc w:val="center"/>
        <w:tblBorders>
          <w:top w:val="none" w:color="DEE0E3" w:sz="0" w:space="0"/>
          <w:left w:val="none" w:color="DEE0E3" w:sz="0" w:space="0"/>
          <w:bottom w:val="none" w:color="DEE0E3" w:sz="0" w:space="0"/>
          <w:right w:val="none" w:color="DEE0E3" w:sz="0" w:space="0"/>
          <w:insideH w:val="none" w:color="DEE0E3" w:sz="0" w:space="0"/>
          <w:insideV w:val="none" w:color="DEE0E3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69"/>
        <w:gridCol w:w="900"/>
        <w:gridCol w:w="3755"/>
        <w:gridCol w:w="3028"/>
      </w:tblGrid>
      <w:tr w14:paraId="5E0CC0EA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06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D6F8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sz w:val="24"/>
                <w:szCs w:val="24"/>
              </w:rPr>
              <w:t>考核</w:t>
            </w:r>
            <w:r>
              <w:rPr>
                <w:rFonts w:hint="eastAsia" w:ascii="黑体" w:hAnsi="黑体" w:eastAsia="黑体" w:cs="黑体"/>
                <w:b/>
                <w:sz w:val="24"/>
                <w:szCs w:val="24"/>
                <w:lang w:val="en-US" w:eastAsia="zh-CN"/>
              </w:rPr>
              <w:t>项目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8E2E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sz w:val="24"/>
                <w:szCs w:val="24"/>
              </w:rPr>
              <w:t>分值</w:t>
            </w:r>
          </w:p>
        </w:tc>
        <w:tc>
          <w:tcPr>
            <w:tcW w:w="375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C2BD8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sz w:val="24"/>
                <w:szCs w:val="24"/>
              </w:rPr>
              <w:t>考核内容及评分标准</w:t>
            </w:r>
          </w:p>
        </w:tc>
        <w:tc>
          <w:tcPr>
            <w:tcW w:w="30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3C00A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sz w:val="24"/>
                <w:szCs w:val="24"/>
              </w:rPr>
              <w:t>佐证材料来源</w:t>
            </w:r>
          </w:p>
        </w:tc>
      </w:tr>
      <w:tr w14:paraId="2D35A898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87" w:hRule="atLeast"/>
          <w:jc w:val="center"/>
        </w:trPr>
        <w:tc>
          <w:tcPr>
            <w:tcW w:w="206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78045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一、服务响应时效（25分）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9D39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25</w:t>
            </w:r>
          </w:p>
        </w:tc>
        <w:tc>
          <w:tcPr>
            <w:tcW w:w="375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4A14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1.紧急事项（突发医患纠纷、群体性事件、行政突击检查）：要求2小时响应，赣州市城区4小时到达现场。全部达标10分；每发生1次超时扣3分，扣完本项为止。</w:t>
            </w:r>
          </w:p>
          <w:p w14:paraId="10B7FD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.重要事项（重大合同审核、诉讼案件对接）：2小时响应，3个工作日出具书面法律意见。全部达标8分；每1次超时扣2分，扣完为止。3.普通咨询：工作日4小时响应，简单咨询当日答复。全部达标7分；累计3次及以上答复滞后扣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7分。</w:t>
            </w:r>
          </w:p>
        </w:tc>
        <w:tc>
          <w:tcPr>
            <w:tcW w:w="30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34FA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咨询登记台账、应急处置记录、法律服务简报、微信/邮件沟通记录、现场到场记录</w:t>
            </w:r>
          </w:p>
        </w:tc>
      </w:tr>
      <w:tr w14:paraId="7087BDB5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06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D2C0C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二、法律业务工作质量（35分）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42829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35</w:t>
            </w:r>
          </w:p>
        </w:tc>
        <w:tc>
          <w:tcPr>
            <w:tcW w:w="375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97857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1.法律咨询、法律文书审核（12分）：合同、公函、制度、律师函等审核起草，无明显法律漏洞。出现一般疏漏每次扣2分；出现重大法律风险疏漏本项不得分。</w:t>
            </w:r>
          </w:p>
          <w:p w14:paraId="01C7E4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2.纠纷案件代理（13分）：调解、仲裁、诉讼、执行全流程代理；案件材料完整，按时提交代理意见，按时参加开庭调解；无故缺席、材料严重拖延每次扣4分。</w:t>
            </w:r>
          </w:p>
          <w:p w14:paraId="340502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3.重大事项合规审查（10分）：采购、基建、对外合作等重大决策按需出具书面合法性意见、参与商务谈判；应出具书面意见而未出具的每次扣3分。</w:t>
            </w:r>
          </w:p>
        </w:tc>
        <w:tc>
          <w:tcPr>
            <w:tcW w:w="30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E23A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合同审核稿、法律意见书、案件卷宗档案、代理文书、谈判记录、工作简报</w:t>
            </w:r>
          </w:p>
        </w:tc>
      </w:tr>
      <w:tr w14:paraId="0AF0DAAF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06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B12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87390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三、普法培训与风险排查（12分）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485B0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12</w:t>
            </w:r>
          </w:p>
        </w:tc>
        <w:tc>
          <w:tcPr>
            <w:tcW w:w="375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02354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1.年度不少于2次全院线下普法培训，交付完整课件；按需开展科室专项宣讲。按要求完成全部培训、课件齐全得8分；少1次全院培训扣5分；无课件每次扣2分。</w:t>
            </w:r>
          </w:p>
          <w:p w14:paraId="569D7A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2.按需开展制度合规梳理、法律风险排查工作得4分；医院提出需求拒不配合本项不得分。</w:t>
            </w:r>
          </w:p>
        </w:tc>
        <w:tc>
          <w:tcPr>
            <w:tcW w:w="30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74F6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培训课件、签到表、培训照片、风险排查报告</w:t>
            </w:r>
          </w:p>
        </w:tc>
      </w:tr>
      <w:tr w14:paraId="6C0B2655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06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E30B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四、人员管理与服务保障（14分）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71F90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14</w:t>
            </w:r>
          </w:p>
        </w:tc>
        <w:tc>
          <w:tcPr>
            <w:tcW w:w="375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5704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1.落实双主办律师团队；主办律师更换提前30日书面报备并取得医院书面同意（8分）。未经许可擅自更换主办律师本项0分；替补律师资质低于原律师扣4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6分。</w:t>
            </w:r>
          </w:p>
          <w:p w14:paraId="673896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2.主办律师不能履职时，备用律师无缝承接，服务质量时效不降低（6分）；发生承接断层1次扣3分。</w:t>
            </w:r>
          </w:p>
        </w:tc>
        <w:tc>
          <w:tcPr>
            <w:tcW w:w="30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D72A5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律师人员报备文件、律师执业资质材料、服务交接记录</w:t>
            </w:r>
          </w:p>
        </w:tc>
      </w:tr>
      <w:tr w14:paraId="47F80900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AB72B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五、档案台账、保密及合规履约（14分）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8133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14</w:t>
            </w:r>
          </w:p>
        </w:tc>
        <w:tc>
          <w:tcPr>
            <w:tcW w:w="3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6F8C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1.建立专项法律服务档案，一案一档、一文一档；按季度提交法律服务工作简报（6分）。应提交简报未提交每次扣2分；档案混乱缺失酌情扣分。</w:t>
            </w:r>
          </w:p>
          <w:p w14:paraId="7035CB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2.保密义务：严守医院信息、患者隐私；不存在利益冲突，不代理对方当事人案件（5分）。发生泄密或重大利益冲突直接考核总评不合格。</w:t>
            </w:r>
          </w:p>
          <w:p w14:paraId="30F599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3.严禁转包、分包，严格执行两年全诉讼包干，不违规收取代理费（3分）。发生转包分包或违规收费直接总评不合格。</w:t>
            </w:r>
          </w:p>
        </w:tc>
        <w:tc>
          <w:tcPr>
            <w:tcW w:w="3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949FD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季度工作简报、全套服务档案、保密及利益冲突承诺、收费记录</w:t>
            </w:r>
          </w:p>
        </w:tc>
      </w:tr>
    </w:tbl>
    <w:p w14:paraId="5F8722CB">
      <w:pPr>
        <w:rPr>
          <w:rFonts w:hint="eastAsia" w:ascii="楷体" w:hAnsi="楷体" w:eastAsia="楷体" w:cs="楷体"/>
          <w:sz w:val="24"/>
          <w:szCs w:val="28"/>
          <w:lang w:eastAsia="zh-CN"/>
        </w:rPr>
      </w:pPr>
      <w:r>
        <w:rPr>
          <w:rFonts w:hint="eastAsia" w:ascii="楷体" w:hAnsi="楷体" w:eastAsia="楷体" w:cs="楷体"/>
          <w:sz w:val="24"/>
          <w:szCs w:val="28"/>
        </w:rPr>
        <w:t>考核等级及结果运用</w:t>
      </w:r>
      <w:r>
        <w:rPr>
          <w:rFonts w:hint="eastAsia" w:ascii="楷体" w:hAnsi="楷体" w:eastAsia="楷体" w:cs="楷体"/>
          <w:sz w:val="24"/>
          <w:szCs w:val="28"/>
          <w:lang w:eastAsia="zh-CN"/>
        </w:rPr>
        <w:t>：</w:t>
      </w:r>
    </w:p>
    <w:p w14:paraId="427A88F8">
      <w:pPr>
        <w:rPr>
          <w:rFonts w:hint="eastAsia" w:ascii="楷体" w:hAnsi="楷体" w:eastAsia="楷体" w:cs="楷体"/>
          <w:sz w:val="24"/>
          <w:szCs w:val="28"/>
        </w:rPr>
      </w:pPr>
      <w:r>
        <w:rPr>
          <w:rFonts w:hint="eastAsia" w:ascii="楷体" w:hAnsi="楷体" w:eastAsia="楷体" w:cs="楷体"/>
          <w:sz w:val="24"/>
          <w:szCs w:val="28"/>
        </w:rPr>
        <w:t>优秀（90</w:t>
      </w:r>
      <w:r>
        <w:rPr>
          <w:rFonts w:hint="eastAsia" w:ascii="楷体" w:hAnsi="楷体" w:eastAsia="楷体" w:cs="楷体"/>
          <w:sz w:val="24"/>
          <w:szCs w:val="28"/>
          <w:lang w:val="en-US" w:eastAsia="zh-CN"/>
        </w:rPr>
        <w:t>-</w:t>
      </w:r>
      <w:r>
        <w:rPr>
          <w:rFonts w:hint="eastAsia" w:ascii="楷体" w:hAnsi="楷体" w:eastAsia="楷体" w:cs="楷体"/>
          <w:sz w:val="24"/>
          <w:szCs w:val="28"/>
        </w:rPr>
        <w:t>100分）：按合同约定全额支付服务费，考核结果可作为项目后续续约的重要参考依据。</w:t>
      </w:r>
    </w:p>
    <w:p w14:paraId="5A40C9CD">
      <w:pPr>
        <w:rPr>
          <w:rFonts w:hint="eastAsia" w:ascii="楷体" w:hAnsi="楷体" w:eastAsia="楷体" w:cs="楷体"/>
          <w:sz w:val="24"/>
          <w:szCs w:val="28"/>
        </w:rPr>
      </w:pPr>
      <w:r>
        <w:rPr>
          <w:rFonts w:hint="eastAsia" w:ascii="楷体" w:hAnsi="楷体" w:eastAsia="楷体" w:cs="楷体"/>
          <w:sz w:val="24"/>
          <w:szCs w:val="28"/>
        </w:rPr>
        <w:t>合格（70</w:t>
      </w:r>
      <w:r>
        <w:rPr>
          <w:rFonts w:hint="eastAsia" w:ascii="楷体" w:hAnsi="楷体" w:eastAsia="楷体" w:cs="楷体"/>
          <w:sz w:val="24"/>
          <w:szCs w:val="28"/>
          <w:lang w:val="en-US" w:eastAsia="zh-CN"/>
        </w:rPr>
        <w:t>-</w:t>
      </w:r>
      <w:r>
        <w:rPr>
          <w:rFonts w:hint="eastAsia" w:ascii="楷体" w:hAnsi="楷体" w:eastAsia="楷体" w:cs="楷体"/>
          <w:sz w:val="24"/>
          <w:szCs w:val="28"/>
        </w:rPr>
        <w:t>89分）：按合同约定全额支付服务费，针对履约存在的细微问题，要求服务商限期完成优化改进。</w:t>
      </w:r>
    </w:p>
    <w:p w14:paraId="58FDAF00">
      <w:pPr>
        <w:rPr>
          <w:rFonts w:hint="eastAsia" w:ascii="楷体" w:hAnsi="楷体" w:eastAsia="楷体" w:cs="楷体"/>
          <w:sz w:val="24"/>
          <w:szCs w:val="28"/>
        </w:rPr>
      </w:pPr>
      <w:r>
        <w:rPr>
          <w:rFonts w:hint="eastAsia" w:ascii="楷体" w:hAnsi="楷体" w:eastAsia="楷体" w:cs="楷体"/>
          <w:sz w:val="24"/>
          <w:szCs w:val="28"/>
        </w:rPr>
        <w:t>不合格（＜70分）：向服务商下发整改通知书，责令限期完成整改；医院可根据整改成效酌情扣减当期服务费；若连续两次考核结果为不合格，医院有权单方解除服务合同，且不承担违约责任。</w:t>
      </w:r>
      <w:bookmarkStart w:id="16" w:name="_GoBack"/>
      <w:bookmarkEnd w:id="16"/>
    </w:p>
    <w:p w14:paraId="4EB707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</w:t>
      </w:r>
    </w:p>
    <w:p w14:paraId="0E5932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综合评分标准（总分100分）</w:t>
      </w:r>
    </w:p>
    <w:tbl>
      <w:tblPr>
        <w:tblStyle w:val="4"/>
        <w:tblW w:w="9877" w:type="dxa"/>
        <w:jc w:val="center"/>
        <w:tblBorders>
          <w:top w:val="none" w:color="DEE0E3" w:sz="0" w:space="0"/>
          <w:left w:val="none" w:color="DEE0E3" w:sz="0" w:space="0"/>
          <w:bottom w:val="none" w:color="DEE0E3" w:sz="0" w:space="0"/>
          <w:right w:val="none" w:color="DEE0E3" w:sz="0" w:space="0"/>
          <w:insideH w:val="none" w:color="DEE0E3" w:sz="0" w:space="0"/>
          <w:insideV w:val="none" w:color="DEE0E3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977"/>
        <w:gridCol w:w="1017"/>
        <w:gridCol w:w="3883"/>
        <w:gridCol w:w="3000"/>
      </w:tblGrid>
      <w:tr w14:paraId="3F5A5FA1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321DC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sz w:val="24"/>
                <w:szCs w:val="24"/>
              </w:rPr>
              <w:t>评分项目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36551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sz w:val="24"/>
                <w:szCs w:val="24"/>
              </w:rPr>
              <w:t>分值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0ACB61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sz w:val="24"/>
                <w:szCs w:val="24"/>
              </w:rPr>
              <w:t>评分细则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668A2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sz w:val="24"/>
                <w:szCs w:val="24"/>
              </w:rPr>
              <w:t>评分依据</w:t>
            </w:r>
          </w:p>
        </w:tc>
      </w:tr>
      <w:tr w14:paraId="0A62CA7C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F6ED23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（一）服务硬件与保障能力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F2A541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18分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F073BDB">
            <w:pPr>
              <w:keepNext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1.赣州市城区固定办公场所：建筑面积＞100㎡且≤1000㎡，得4分；＞1000㎡且≤2000㎡，得7分；＞2000㎡，得10分。</w:t>
            </w:r>
          </w:p>
          <w:p w14:paraId="7E27C53E">
            <w:pPr>
              <w:keepNext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2.具备独立接待洽谈室、档案资料室、安防监控设备，每具备1项得4分，本小项最高8分。两项合计最高18分。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F2845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1.提供不动产权证书或房屋租赁合同（加盖公章），租赁需同时提供不动产证明，面积以权属证记载为准。</w:t>
            </w:r>
          </w:p>
          <w:p w14:paraId="3FDBB4B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2.提供对应场所彩色实景照片，材料无效或未提供不得分。</w:t>
            </w:r>
          </w:p>
        </w:tc>
      </w:tr>
      <w:tr w14:paraId="66632914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115FC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（二）律所综合实力与人才队伍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BF7D57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32分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46C490F">
            <w:pPr>
              <w:keepNext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1.已投保有效律师执业责任保险，得6分。</w:t>
            </w:r>
          </w:p>
          <w:p w14:paraId="246A4FA9">
            <w:pPr>
              <w:keepNext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2.获评全国优秀律师事务所得10分；获评省级优秀律师事务所得7分；其他官方省级荣誉每增加1项加2分，本项最高10分（全国、省级荣誉不重复计分，取最高值）。</w:t>
            </w:r>
          </w:p>
          <w:p w14:paraId="6AF26FA2">
            <w:pPr>
              <w:keepNext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3.在岗执业律师规模：≥40人得4分；≥60人得6分；≥80人得8分；≥100人得12分，本小项最高12分。本大项合计最高32分。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6E8B5A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1.提供保险凭证复印件加盖公章。</w:t>
            </w:r>
          </w:p>
          <w:p w14:paraId="6C75CAB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2.提供官方表彰文件、荣誉证书复印件加盖公章；非官方荣誉不计分。</w:t>
            </w:r>
          </w:p>
          <w:p w14:paraId="438A900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3.提供在岗执业律师清单、执业证复印件，全部加盖公章。</w:t>
            </w:r>
          </w:p>
        </w:tc>
      </w:tr>
      <w:tr w14:paraId="0FCC6465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981A8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（三）医疗行业业绩及实务能力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3A4746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34分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F498D10">
            <w:pPr>
              <w:keepNext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1.近3年每服务1家公立医疗机构法律顾问项目得8分，本小项最高20分。</w:t>
            </w:r>
          </w:p>
          <w:p w14:paraId="06EFBD5A">
            <w:pPr>
              <w:keepNext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2.拟派驻团队律师中有担任医疗卫生相关专业委员会委员、伦理委员会委员的，每1人得7分，最高14分。本大项合计最高34分。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55E7C2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1.业绩以合同签订时间为准，提供完整合同复印件加盖公章，无法佐证不计分。</w:t>
            </w:r>
          </w:p>
          <w:p w14:paraId="74D5F8C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2.提供委员任职正式证明文件加盖公章。</w:t>
            </w:r>
          </w:p>
        </w:tc>
      </w:tr>
      <w:tr w14:paraId="6D721012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A5F83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（四）投标报价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3B116A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16分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17151F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全部实质性要求满足的有效供应商中，最低报价为评审基准价，得16分；其余供应商得分=（评审基准价÷该供应商投标报价）×16。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3DB80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提供正式投标报价函，须载明两年全诉讼包干服务范围；不满足包干承诺按无效响应处理。</w:t>
            </w:r>
          </w:p>
        </w:tc>
      </w:tr>
    </w:tbl>
    <w:p w14:paraId="00DC659D">
      <w:pPr>
        <w:rPr>
          <w:rFonts w:hint="eastAsia" w:ascii="楷体" w:hAnsi="楷体" w:eastAsia="楷体" w:cs="楷体"/>
          <w:sz w:val="24"/>
          <w:szCs w:val="28"/>
        </w:rPr>
      </w:pPr>
    </w:p>
    <w:sectPr>
      <w:footerReference r:id="rId3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9B87AD">
    <w:r>
      <w:rPr>
        <w:sz w:val="21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3C5CCAF0">
                <w:pPr>
                  <w:pStyle w:val="3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hdrShapeDefaults>
    <o:shapelayout v:ext="edit">
      <o:idmap v:ext="edit" data="3,4"/>
    </o:shapelayout>
  </w:hdrShapeDefaults>
  <w:compat>
    <w:doNotExpandShiftReturn/>
    <w:doNotWrapTextWithPunct/>
    <w:doNotUseEastAsianBreakRules/>
    <w:useFELayout/>
    <w:splitPgBreakAndParaMark/>
    <w:compatSetting w:name="compatibilityMode" w:uri="http://schemas.microsoft.com/office/word" w:val="12"/>
  </w:compat>
  <w:rsids>
    <w:rsidRoot w:val="00000000"/>
    <w:rsid w:val="071F5DD1"/>
    <w:rsid w:val="09CE691C"/>
    <w:rsid w:val="09FE7604"/>
    <w:rsid w:val="0AA56DE5"/>
    <w:rsid w:val="135041E5"/>
    <w:rsid w:val="1BCD3502"/>
    <w:rsid w:val="472D766F"/>
    <w:rsid w:val="47645ABF"/>
    <w:rsid w:val="53AD3A1E"/>
    <w:rsid w:val="721A4DE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3854</Words>
  <Characters>3975</Characters>
  <TotalTime>211</TotalTime>
  <ScaleCrop>false</ScaleCrop>
  <LinksUpToDate>false</LinksUpToDate>
  <CharactersWithSpaces>4074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2026-09-12T03:30:00Z</dcterms:created>
  <dc:creator>Apache POI</dc:creator>
  <cp:lastModifiedBy>南方天</cp:lastModifiedBy>
  <dcterms:modified xsi:type="dcterms:W3CDTF">2026-09-18T07:56:32Z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{"Label":"1","ContentProducer":"001191110102MACQD9K64010000","ProduceID":"7684486010311740646","ReservedCode1":"","ContentPropagator":"","PropagateID":"","ReservedCode2":""}</vt:lpwstr>
  </property>
  <property fmtid="{D5CDD505-2E9C-101B-9397-08002B2CF9AE}" pid="3" name="KSOTemplateDocerSaveRecord">
    <vt:lpwstr>eyJoZGlkIjoiZWRiZTA0OWJjZjFhNTA3MjAxZjQ5YjM3MjgzZDM5OTgiLCJ1c2VySWQiOiIzMTYyODU1OTQifQ==</vt:lpwstr>
  </property>
  <property fmtid="{D5CDD505-2E9C-101B-9397-08002B2CF9AE}" pid="4" name="KSOProductBuildVer">
    <vt:lpwstr>2052-12.1.0.28505</vt:lpwstr>
  </property>
  <property fmtid="{D5CDD505-2E9C-101B-9397-08002B2CF9AE}" pid="5" name="ICV">
    <vt:lpwstr>0C33ACFB9A014A73B8589A4AFE1F8896_12</vt:lpwstr>
  </property>
</Properties>
</file>