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AC862">
      <w:pPr>
        <w:jc w:val="both"/>
      </w:pPr>
      <w:r>
        <w:rPr>
          <w:rFonts w:hint="eastAsia"/>
        </w:rPr>
        <w:t>附件：</w:t>
      </w:r>
    </w:p>
    <w:p w14:paraId="55151675">
      <w:pPr>
        <w:jc w:val="center"/>
      </w:pPr>
      <w:r>
        <w:rPr>
          <w:rFonts w:hint="eastAsia"/>
          <w:b/>
          <w:bCs/>
        </w:rPr>
        <w:t>评分方案</w:t>
      </w:r>
    </w:p>
    <w:tbl>
      <w:tblPr>
        <w:tblStyle w:val="5"/>
        <w:tblW w:w="10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1"/>
        <w:gridCol w:w="7743"/>
        <w:gridCol w:w="15"/>
        <w:gridCol w:w="1121"/>
      </w:tblGrid>
      <w:tr w14:paraId="7964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0420" w:type="dxa"/>
            <w:gridSpan w:val="4"/>
            <w:vAlign w:val="center"/>
          </w:tcPr>
          <w:p w14:paraId="6BE33F91">
            <w:pPr>
              <w:widowControl/>
              <w:autoSpaceDE w:val="0"/>
              <w:autoSpaceDN w:val="0"/>
              <w:adjustRightInd w:val="0"/>
              <w:snapToGrid w:val="0"/>
              <w:spacing w:line="400" w:lineRule="exact"/>
              <w:jc w:val="center"/>
              <w:textAlignment w:val="baseline"/>
              <w:rPr>
                <w:rFonts w:ascii="宋体" w:hAnsi="宋体" w:eastAsia="宋体" w:cs="宋体"/>
                <w:b/>
                <w:bCs/>
                <w:sz w:val="24"/>
              </w:rPr>
            </w:pPr>
            <w:r>
              <w:rPr>
                <w:rFonts w:hint="eastAsia" w:ascii="宋体" w:hAnsi="宋体" w:eastAsia="宋体" w:cs="宋体"/>
                <w:b/>
                <w:bCs/>
                <w:sz w:val="24"/>
              </w:rPr>
              <w:t>（一）价格评分：30分</w:t>
            </w:r>
            <w:bookmarkStart w:id="0" w:name="_GoBack"/>
            <w:bookmarkEnd w:id="0"/>
          </w:p>
        </w:tc>
      </w:tr>
      <w:tr w14:paraId="7DFD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299" w:type="dxa"/>
            <w:gridSpan w:val="3"/>
            <w:vAlign w:val="center"/>
          </w:tcPr>
          <w:p w14:paraId="6AA0D437">
            <w:pPr>
              <w:widowControl/>
              <w:autoSpaceDE w:val="0"/>
              <w:autoSpaceDN w:val="0"/>
              <w:adjustRightInd w:val="0"/>
              <w:snapToGrid w:val="0"/>
              <w:spacing w:line="400" w:lineRule="exact"/>
              <w:jc w:val="center"/>
              <w:textAlignment w:val="baseline"/>
              <w:rPr>
                <w:rFonts w:ascii="宋体" w:hAnsi="宋体" w:eastAsia="宋体" w:cs="宋体"/>
                <w:bCs/>
                <w:sz w:val="24"/>
              </w:rPr>
            </w:pPr>
            <w:r>
              <w:rPr>
                <w:rFonts w:hint="eastAsia" w:ascii="宋体" w:hAnsi="宋体" w:eastAsia="宋体" w:cs="宋体"/>
                <w:b/>
                <w:bCs/>
                <w:sz w:val="24"/>
              </w:rPr>
              <w:t>评审内容</w:t>
            </w:r>
          </w:p>
        </w:tc>
        <w:tc>
          <w:tcPr>
            <w:tcW w:w="1121" w:type="dxa"/>
            <w:vAlign w:val="center"/>
          </w:tcPr>
          <w:p w14:paraId="579F2EF3">
            <w:pPr>
              <w:autoSpaceDE w:val="0"/>
              <w:autoSpaceDN w:val="0"/>
              <w:adjustRightInd w:val="0"/>
              <w:snapToGrid w:val="0"/>
              <w:spacing w:line="400" w:lineRule="exact"/>
              <w:jc w:val="center"/>
              <w:rPr>
                <w:rFonts w:ascii="宋体" w:hAnsi="宋体" w:eastAsia="宋体" w:cs="宋体"/>
                <w:sz w:val="24"/>
              </w:rPr>
            </w:pPr>
            <w:r>
              <w:rPr>
                <w:rFonts w:hint="eastAsia" w:ascii="宋体" w:hAnsi="宋体" w:eastAsia="宋体" w:cs="宋体"/>
                <w:b/>
                <w:bCs/>
                <w:sz w:val="24"/>
              </w:rPr>
              <w:t>分值</w:t>
            </w:r>
          </w:p>
        </w:tc>
      </w:tr>
      <w:tr w14:paraId="1F343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9" w:hRule="atLeast"/>
          <w:jc w:val="center"/>
        </w:trPr>
        <w:tc>
          <w:tcPr>
            <w:tcW w:w="9299" w:type="dxa"/>
            <w:gridSpan w:val="3"/>
            <w:vAlign w:val="center"/>
          </w:tcPr>
          <w:p w14:paraId="3C280200">
            <w:pPr>
              <w:widowControl/>
              <w:autoSpaceDE w:val="0"/>
              <w:autoSpaceDN w:val="0"/>
              <w:adjustRightInd w:val="0"/>
              <w:snapToGrid w:val="0"/>
              <w:spacing w:line="400" w:lineRule="exact"/>
              <w:ind w:firstLine="480" w:firstLineChars="200"/>
              <w:jc w:val="both"/>
              <w:rPr>
                <w:rFonts w:ascii="宋体" w:hAnsi="宋体" w:eastAsia="宋体" w:cs="宋体"/>
                <w:sz w:val="24"/>
              </w:rPr>
            </w:pPr>
            <w:r>
              <w:rPr>
                <w:rFonts w:hint="eastAsia" w:ascii="宋体" w:hAnsi="宋体" w:eastAsia="宋体" w:cs="宋体"/>
                <w:sz w:val="24"/>
              </w:rPr>
              <w:t>价格分采用低价优先法计算，即满足磋商文件要求且最后报价最低的磋商报价为评标基准价，其价格分为满分。其他供应商的价格分统一按下列公式计算：</w:t>
            </w:r>
          </w:p>
          <w:p w14:paraId="64C4E05F">
            <w:pPr>
              <w:widowControl/>
              <w:autoSpaceDE w:val="0"/>
              <w:autoSpaceDN w:val="0"/>
              <w:adjustRightInd w:val="0"/>
              <w:snapToGrid w:val="0"/>
              <w:spacing w:line="400" w:lineRule="exact"/>
              <w:jc w:val="both"/>
              <w:rPr>
                <w:rFonts w:ascii="宋体" w:hAnsi="宋体" w:eastAsia="宋体" w:cs="宋体"/>
                <w:sz w:val="24"/>
              </w:rPr>
            </w:pPr>
            <w:r>
              <w:rPr>
                <w:rFonts w:hint="eastAsia" w:ascii="宋体" w:hAnsi="宋体" w:eastAsia="宋体" w:cs="宋体"/>
                <w:spacing w:val="-1"/>
                <w:sz w:val="24"/>
              </w:rPr>
              <w:t>磋商报价得分=（评标基准价/磋商报价）*30</w:t>
            </w:r>
          </w:p>
        </w:tc>
        <w:tc>
          <w:tcPr>
            <w:tcW w:w="1121" w:type="dxa"/>
            <w:vAlign w:val="center"/>
          </w:tcPr>
          <w:p w14:paraId="3E73F1A2">
            <w:pPr>
              <w:autoSpaceDE w:val="0"/>
              <w:autoSpaceDN w:val="0"/>
              <w:adjustRightInd w:val="0"/>
              <w:snapToGrid w:val="0"/>
              <w:spacing w:line="400" w:lineRule="exact"/>
              <w:jc w:val="center"/>
              <w:rPr>
                <w:rFonts w:ascii="宋体" w:hAnsi="宋体" w:eastAsia="宋体" w:cs="宋体"/>
                <w:sz w:val="24"/>
              </w:rPr>
            </w:pPr>
            <w:r>
              <w:rPr>
                <w:rFonts w:hint="eastAsia" w:ascii="宋体" w:hAnsi="宋体" w:eastAsia="宋体" w:cs="宋体"/>
                <w:b/>
                <w:bCs/>
                <w:sz w:val="24"/>
              </w:rPr>
              <w:t>30 分</w:t>
            </w:r>
          </w:p>
        </w:tc>
      </w:tr>
      <w:tr w14:paraId="576F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0420" w:type="dxa"/>
            <w:gridSpan w:val="4"/>
            <w:vAlign w:val="center"/>
          </w:tcPr>
          <w:p w14:paraId="52EB28C0">
            <w:pPr>
              <w:widowControl/>
              <w:autoSpaceDE w:val="0"/>
              <w:autoSpaceDN w:val="0"/>
              <w:adjustRightInd w:val="0"/>
              <w:snapToGrid w:val="0"/>
              <w:spacing w:line="400" w:lineRule="exact"/>
              <w:jc w:val="center"/>
              <w:textAlignment w:val="baseline"/>
              <w:rPr>
                <w:rFonts w:ascii="宋体" w:hAnsi="宋体" w:eastAsia="宋体" w:cs="宋体"/>
                <w:sz w:val="24"/>
              </w:rPr>
            </w:pPr>
            <w:r>
              <w:rPr>
                <w:rFonts w:hint="eastAsia" w:ascii="宋体" w:hAnsi="宋体" w:eastAsia="宋体" w:cs="宋体"/>
                <w:b/>
                <w:bCs/>
                <w:sz w:val="24"/>
              </w:rPr>
              <w:t>（二）技术评审：</w:t>
            </w:r>
            <w:r>
              <w:rPr>
                <w:rFonts w:hint="eastAsia" w:ascii="宋体" w:hAnsi="宋体" w:eastAsia="宋体" w:cs="宋体"/>
                <w:b/>
                <w:bCs/>
                <w:sz w:val="24"/>
                <w:lang w:val="en-US" w:eastAsia="zh-CN"/>
              </w:rPr>
              <w:t>50</w:t>
            </w:r>
            <w:r>
              <w:rPr>
                <w:rFonts w:hint="eastAsia" w:ascii="宋体" w:hAnsi="宋体" w:eastAsia="宋体" w:cs="宋体"/>
                <w:b/>
                <w:bCs/>
                <w:sz w:val="24"/>
              </w:rPr>
              <w:t>分</w:t>
            </w:r>
          </w:p>
        </w:tc>
      </w:tr>
      <w:tr w14:paraId="73D06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541" w:type="dxa"/>
            <w:vAlign w:val="center"/>
          </w:tcPr>
          <w:p w14:paraId="7EE8AE6C">
            <w:pPr>
              <w:autoSpaceDE w:val="0"/>
              <w:autoSpaceDN w:val="0"/>
              <w:adjustRightInd w:val="0"/>
              <w:snapToGrid w:val="0"/>
              <w:spacing w:line="400" w:lineRule="exact"/>
              <w:jc w:val="center"/>
              <w:rPr>
                <w:rFonts w:ascii="宋体" w:hAnsi="宋体" w:eastAsia="宋体" w:cs="宋体"/>
                <w:b/>
                <w:bCs/>
                <w:sz w:val="24"/>
              </w:rPr>
            </w:pPr>
            <w:r>
              <w:rPr>
                <w:rFonts w:hint="eastAsia" w:ascii="宋体" w:hAnsi="宋体" w:eastAsia="宋体" w:cs="宋体"/>
                <w:b/>
                <w:bCs/>
                <w:sz w:val="24"/>
              </w:rPr>
              <w:t>技术指标及要求</w:t>
            </w:r>
          </w:p>
        </w:tc>
        <w:tc>
          <w:tcPr>
            <w:tcW w:w="7743" w:type="dxa"/>
            <w:vAlign w:val="center"/>
          </w:tcPr>
          <w:p w14:paraId="398B7532">
            <w:pPr>
              <w:autoSpaceDE w:val="0"/>
              <w:autoSpaceDN w:val="0"/>
              <w:adjustRightInd w:val="0"/>
              <w:snapToGrid w:val="0"/>
              <w:spacing w:line="400" w:lineRule="exact"/>
              <w:ind w:firstLine="480" w:firstLineChars="200"/>
              <w:jc w:val="both"/>
              <w:rPr>
                <w:rFonts w:ascii="宋体" w:hAnsi="宋体" w:eastAsia="宋体" w:cs="宋体"/>
                <w:sz w:val="24"/>
              </w:rPr>
            </w:pPr>
            <w:r>
              <w:rPr>
                <w:rFonts w:hint="eastAsia" w:ascii="宋体" w:hAnsi="宋体" w:eastAsia="宋体" w:cs="宋体"/>
                <w:sz w:val="24"/>
              </w:rPr>
              <w:t>完全响应磋商文件“第五章货物需求表及采购需求”一、技术需求中所有实质性条款，任何一项不满足投标无效。</w:t>
            </w:r>
          </w:p>
          <w:p w14:paraId="56BBC74A">
            <w:pPr>
              <w:autoSpaceDE w:val="0"/>
              <w:autoSpaceDN w:val="0"/>
              <w:adjustRightInd w:val="0"/>
              <w:snapToGrid w:val="0"/>
              <w:spacing w:line="400" w:lineRule="exact"/>
              <w:jc w:val="both"/>
              <w:rPr>
                <w:rFonts w:ascii="宋体" w:hAnsi="宋体" w:eastAsia="宋体" w:cs="宋体"/>
                <w:b/>
                <w:bCs/>
                <w:sz w:val="24"/>
              </w:rPr>
            </w:pPr>
            <w:r>
              <w:rPr>
                <w:rFonts w:hint="eastAsia" w:ascii="宋体" w:hAnsi="宋体" w:eastAsia="宋体" w:cs="宋体"/>
                <w:sz w:val="24"/>
              </w:rPr>
              <w:t>评审依据：技术需求响应/偏离表。</w:t>
            </w:r>
          </w:p>
        </w:tc>
        <w:tc>
          <w:tcPr>
            <w:tcW w:w="1136" w:type="dxa"/>
            <w:gridSpan w:val="2"/>
            <w:vAlign w:val="center"/>
          </w:tcPr>
          <w:p w14:paraId="654CF2FC">
            <w:pPr>
              <w:autoSpaceDE w:val="0"/>
              <w:autoSpaceDN w:val="0"/>
              <w:adjustRightInd w:val="0"/>
              <w:snapToGrid w:val="0"/>
              <w:spacing w:line="400" w:lineRule="exact"/>
              <w:jc w:val="center"/>
              <w:textAlignment w:val="center"/>
              <w:rPr>
                <w:rFonts w:ascii="宋体" w:hAnsi="宋体" w:eastAsia="宋体" w:cs="宋体"/>
                <w:b/>
                <w:bCs/>
                <w:sz w:val="24"/>
              </w:rPr>
            </w:pPr>
            <w:r>
              <w:rPr>
                <w:rFonts w:hint="eastAsia" w:ascii="宋体" w:hAnsi="宋体" w:eastAsia="宋体" w:cs="宋体"/>
                <w:b/>
                <w:bCs/>
                <w:sz w:val="24"/>
              </w:rPr>
              <w:t>符合性审查</w:t>
            </w:r>
          </w:p>
        </w:tc>
      </w:tr>
      <w:tr w14:paraId="66926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541" w:type="dxa"/>
            <w:vMerge w:val="restart"/>
            <w:vAlign w:val="center"/>
          </w:tcPr>
          <w:p w14:paraId="74433753">
            <w:pPr>
              <w:widowControl/>
              <w:autoSpaceDE w:val="0"/>
              <w:autoSpaceDN w:val="0"/>
              <w:adjustRightInd w:val="0"/>
              <w:snapToGrid w:val="0"/>
              <w:spacing w:line="400" w:lineRule="exact"/>
              <w:jc w:val="center"/>
              <w:rPr>
                <w:rFonts w:ascii="宋体" w:hAnsi="宋体" w:eastAsia="宋体" w:cs="宋体"/>
                <w:spacing w:val="-1"/>
                <w:sz w:val="24"/>
              </w:rPr>
            </w:pPr>
            <w:r>
              <w:rPr>
                <w:rFonts w:hint="eastAsia" w:ascii="宋体" w:hAnsi="宋体" w:eastAsia="宋体" w:cs="宋体"/>
                <w:b/>
                <w:bCs/>
                <w:spacing w:val="-1"/>
                <w:sz w:val="24"/>
              </w:rPr>
              <w:t>技术加分项（</w:t>
            </w:r>
            <w:r>
              <w:rPr>
                <w:rFonts w:hint="eastAsia" w:ascii="宋体" w:hAnsi="宋体" w:eastAsia="宋体" w:cs="宋体"/>
                <w:b/>
                <w:bCs/>
                <w:spacing w:val="-1"/>
                <w:sz w:val="24"/>
                <w:lang w:val="en-US" w:eastAsia="zh-CN"/>
                <w:woUserID w:val="1"/>
              </w:rPr>
              <w:t>5</w:t>
            </w:r>
            <w:r>
              <w:rPr>
                <w:rFonts w:hint="eastAsia" w:ascii="宋体" w:hAnsi="宋体" w:eastAsia="宋体" w:cs="宋体"/>
                <w:b/>
                <w:bCs/>
                <w:spacing w:val="-1"/>
                <w:sz w:val="24"/>
                <w:lang w:eastAsia="zh"/>
                <w:woUserID w:val="1"/>
              </w:rPr>
              <w:t>0</w:t>
            </w:r>
            <w:r>
              <w:rPr>
                <w:rFonts w:hint="eastAsia" w:ascii="宋体" w:hAnsi="宋体" w:eastAsia="宋体" w:cs="宋体"/>
                <w:b/>
                <w:bCs/>
                <w:spacing w:val="-1"/>
                <w:sz w:val="24"/>
              </w:rPr>
              <w:t>分）</w:t>
            </w:r>
          </w:p>
        </w:tc>
        <w:tc>
          <w:tcPr>
            <w:tcW w:w="7758" w:type="dxa"/>
            <w:gridSpan w:val="2"/>
            <w:vAlign w:val="center"/>
          </w:tcPr>
          <w:p w14:paraId="68A50E54">
            <w:pPr>
              <w:autoSpaceDE w:val="0"/>
              <w:autoSpaceDN w:val="0"/>
              <w:adjustRightInd w:val="0"/>
              <w:spacing w:line="360" w:lineRule="auto"/>
              <w:rPr>
                <w:rFonts w:asciiTheme="minorEastAsia" w:hAnsiTheme="minorEastAsia" w:eastAsiaTheme="minorEastAsia"/>
                <w:sz w:val="24"/>
              </w:rPr>
            </w:pPr>
            <w:r>
              <w:rPr>
                <w:rFonts w:hint="eastAsia" w:ascii="宋体" w:hAnsi="宋体" w:eastAsia="宋体" w:cs="宋体"/>
                <w:spacing w:val="-1"/>
                <w:sz w:val="24"/>
              </w:rPr>
              <w:t>1.A需求：</w:t>
            </w:r>
            <w:r>
              <w:rPr>
                <w:rFonts w:hint="eastAsia" w:asciiTheme="minorEastAsia" w:hAnsiTheme="minorEastAsia" w:eastAsiaTheme="minorEastAsia"/>
                <w:sz w:val="24"/>
              </w:rPr>
              <w:t>标配锂电池，工作时间≥4.5小时，</w:t>
            </w:r>
            <w:r>
              <w:rPr>
                <w:rFonts w:hint="eastAsia" w:ascii="宋体" w:hAnsi="宋体" w:eastAsia="宋体" w:cs="宋体"/>
                <w:spacing w:val="-1"/>
                <w:sz w:val="24"/>
              </w:rPr>
              <w:t>满足得5分；</w:t>
            </w:r>
            <w:r>
              <w:rPr>
                <w:rFonts w:hint="eastAsia" w:asciiTheme="minorEastAsia" w:hAnsiTheme="minorEastAsia" w:eastAsiaTheme="minorEastAsia"/>
                <w:sz w:val="24"/>
              </w:rPr>
              <w:t>可选配大容量锂电池，工作时间≥9小时，得10分。</w:t>
            </w:r>
            <w:r>
              <w:rPr>
                <w:rFonts w:hint="eastAsia" w:ascii="宋体" w:hAnsi="宋体" w:eastAsia="宋体" w:cs="宋体"/>
                <w:spacing w:val="-1"/>
                <w:sz w:val="24"/>
              </w:rPr>
              <w:t>本项最高得10分。</w:t>
            </w:r>
          </w:p>
          <w:p w14:paraId="61EDFFA9">
            <w:pPr>
              <w:widowControl/>
              <w:autoSpaceDE w:val="0"/>
              <w:autoSpaceDN w:val="0"/>
              <w:adjustRightInd w:val="0"/>
              <w:snapToGrid w:val="0"/>
              <w:spacing w:line="400" w:lineRule="exact"/>
              <w:jc w:val="both"/>
              <w:rPr>
                <w:rFonts w:ascii="宋体" w:hAnsi="宋体" w:eastAsia="宋体" w:cs="宋体"/>
                <w:spacing w:val="-1"/>
                <w:sz w:val="24"/>
              </w:rPr>
            </w:pPr>
            <w:r>
              <w:rPr>
                <w:rFonts w:hint="eastAsia" w:ascii="宋体" w:hAnsi="宋体" w:eastAsia="宋体"/>
                <w:b/>
                <w:bCs/>
                <w:sz w:val="24"/>
              </w:rPr>
              <w:t>评审依据:响应文件提供设备生产厂家的产品说明书或第三方检测机构出具的报告加盖生产厂家公章予以佐证，未提供或提供不合格不得分。</w:t>
            </w:r>
          </w:p>
        </w:tc>
        <w:tc>
          <w:tcPr>
            <w:tcW w:w="1121" w:type="dxa"/>
            <w:vAlign w:val="center"/>
          </w:tcPr>
          <w:p w14:paraId="23BAE2D2">
            <w:pPr>
              <w:autoSpaceDE w:val="0"/>
              <w:autoSpaceDN w:val="0"/>
              <w:adjustRightInd w:val="0"/>
              <w:snapToGrid w:val="0"/>
              <w:spacing w:line="400" w:lineRule="exact"/>
              <w:jc w:val="center"/>
              <w:rPr>
                <w:rFonts w:ascii="宋体" w:hAnsi="宋体" w:eastAsia="宋体" w:cs="宋体"/>
                <w:b/>
                <w:bCs/>
                <w:sz w:val="24"/>
              </w:rPr>
            </w:pPr>
            <w:r>
              <w:rPr>
                <w:rFonts w:hint="eastAsia" w:ascii="宋体" w:hAnsi="宋体" w:eastAsia="宋体" w:cs="宋体"/>
                <w:b/>
                <w:bCs/>
                <w:sz w:val="24"/>
              </w:rPr>
              <w:t>10分</w:t>
            </w:r>
          </w:p>
        </w:tc>
      </w:tr>
      <w:tr w14:paraId="7DA8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541" w:type="dxa"/>
            <w:vMerge w:val="continue"/>
            <w:vAlign w:val="center"/>
          </w:tcPr>
          <w:p w14:paraId="7437BD8B">
            <w:pPr>
              <w:widowControl/>
              <w:autoSpaceDE w:val="0"/>
              <w:autoSpaceDN w:val="0"/>
              <w:adjustRightInd w:val="0"/>
              <w:snapToGrid w:val="0"/>
              <w:spacing w:line="400" w:lineRule="exact"/>
              <w:jc w:val="both"/>
              <w:rPr>
                <w:rFonts w:ascii="宋体" w:hAnsi="宋体" w:eastAsia="宋体" w:cs="宋体"/>
                <w:spacing w:val="-1"/>
                <w:sz w:val="24"/>
              </w:rPr>
            </w:pPr>
          </w:p>
        </w:tc>
        <w:tc>
          <w:tcPr>
            <w:tcW w:w="7758" w:type="dxa"/>
            <w:gridSpan w:val="2"/>
            <w:vAlign w:val="center"/>
          </w:tcPr>
          <w:p w14:paraId="6D2FA689">
            <w:pPr>
              <w:autoSpaceDE w:val="0"/>
              <w:autoSpaceDN w:val="0"/>
              <w:adjustRightInd w:val="0"/>
              <w:spacing w:line="360" w:lineRule="auto"/>
              <w:rPr>
                <w:rFonts w:asciiTheme="minorEastAsia" w:hAnsiTheme="minorEastAsia" w:eastAsiaTheme="minorEastAsia"/>
                <w:sz w:val="24"/>
              </w:rPr>
            </w:pPr>
            <w:r>
              <w:rPr>
                <w:rFonts w:hint="eastAsia" w:ascii="宋体" w:hAnsi="宋体" w:eastAsia="宋体" w:cs="宋体"/>
                <w:spacing w:val="-1"/>
                <w:sz w:val="24"/>
              </w:rPr>
              <w:t>2.B需求：</w:t>
            </w:r>
            <w:r>
              <w:rPr>
                <w:rFonts w:hint="eastAsia" w:asciiTheme="minorEastAsia" w:hAnsiTheme="minorEastAsia" w:eastAsiaTheme="minorEastAsia"/>
                <w:sz w:val="24"/>
              </w:rPr>
              <w:t>支持USB外部存储，支持≥2000小时趋势数据的存储与回顾功能，支持≥4500组无创血压测量记录，≥110小时全息波形的存储与回顾功能，同时满足以上3点</w:t>
            </w:r>
            <w:r>
              <w:rPr>
                <w:rFonts w:hint="eastAsia" w:ascii="宋体" w:hAnsi="宋体" w:eastAsia="宋体" w:cs="宋体"/>
                <w:spacing w:val="-1"/>
                <w:sz w:val="24"/>
              </w:rPr>
              <w:t>得5分；</w:t>
            </w:r>
            <w:r>
              <w:rPr>
                <w:rFonts w:hint="eastAsia" w:asciiTheme="minorEastAsia" w:hAnsiTheme="minorEastAsia" w:eastAsiaTheme="minorEastAsia"/>
                <w:sz w:val="24"/>
              </w:rPr>
              <w:t>支持≥2400小时趋势数据的存储与回顾功能，支持≥5000组无创血压测量记录，≥120小时全息波形的存储与回顾功</w:t>
            </w:r>
            <w:r>
              <w:rPr>
                <w:rFonts w:hint="eastAsia" w:asciiTheme="minorEastAsia" w:hAnsiTheme="minorEastAsia" w:eastAsiaTheme="minorEastAsia"/>
                <w:color w:val="000000" w:themeColor="text1"/>
                <w:sz w:val="24"/>
                <w14:textFill>
                  <w14:solidFill>
                    <w14:schemeClr w14:val="tx1"/>
                  </w14:solidFill>
                </w14:textFill>
              </w:rPr>
              <w:t>能，</w:t>
            </w:r>
            <w:r>
              <w:rPr>
                <w:rFonts w:hint="eastAsia" w:ascii="宋体" w:hAnsi="宋体" w:eastAsia="宋体" w:cs="宋体"/>
                <w:color w:val="000000" w:themeColor="text1"/>
                <w:spacing w:val="-1"/>
                <w:sz w:val="24"/>
                <w14:textFill>
                  <w14:solidFill>
                    <w14:schemeClr w14:val="tx1"/>
                  </w14:solidFill>
                </w14:textFill>
              </w:rPr>
              <w:t>同时满足得1</w:t>
            </w:r>
            <w:r>
              <w:rPr>
                <w:rFonts w:ascii="宋体" w:hAnsi="宋体" w:eastAsia="宋体" w:cs="宋体"/>
                <w:color w:val="000000" w:themeColor="text1"/>
                <w:spacing w:val="-1"/>
                <w:sz w:val="24"/>
                <w14:textFill>
                  <w14:solidFill>
                    <w14:schemeClr w14:val="tx1"/>
                  </w14:solidFill>
                </w14:textFill>
              </w:rPr>
              <w:t>0</w:t>
            </w:r>
            <w:r>
              <w:rPr>
                <w:rFonts w:hint="eastAsia" w:ascii="宋体" w:hAnsi="宋体" w:eastAsia="宋体" w:cs="宋体"/>
                <w:color w:val="000000" w:themeColor="text1"/>
                <w:spacing w:val="-1"/>
                <w:sz w:val="24"/>
                <w:lang w:val="en-US" w:eastAsia="zh-CN"/>
                <w14:textFill>
                  <w14:solidFill>
                    <w14:schemeClr w14:val="tx1"/>
                  </w14:solidFill>
                </w14:textFill>
              </w:rPr>
              <w:t>分</w:t>
            </w:r>
            <w:r>
              <w:rPr>
                <w:rFonts w:hint="eastAsia" w:ascii="宋体" w:hAnsi="宋体" w:eastAsia="宋体" w:cs="宋体"/>
                <w:color w:val="000000" w:themeColor="text1"/>
                <w:spacing w:val="-1"/>
                <w:sz w:val="24"/>
                <w14:textFill>
                  <w14:solidFill>
                    <w14:schemeClr w14:val="tx1"/>
                  </w14:solidFill>
                </w14:textFill>
              </w:rPr>
              <w:t>，本项最高得10分。</w:t>
            </w:r>
          </w:p>
          <w:p w14:paraId="76C63222">
            <w:pPr>
              <w:autoSpaceDE w:val="0"/>
              <w:autoSpaceDN w:val="0"/>
              <w:adjustRightInd w:val="0"/>
              <w:snapToGrid w:val="0"/>
              <w:spacing w:line="400" w:lineRule="exact"/>
              <w:rPr>
                <w:rFonts w:ascii="宋体" w:hAnsi="宋体" w:eastAsia="宋体" w:cs="宋体"/>
                <w:spacing w:val="-1"/>
                <w:sz w:val="24"/>
              </w:rPr>
            </w:pPr>
            <w:r>
              <w:rPr>
                <w:rFonts w:hint="eastAsia" w:ascii="宋体" w:hAnsi="宋体" w:eastAsia="宋体"/>
                <w:b/>
                <w:bCs/>
                <w:sz w:val="24"/>
              </w:rPr>
              <w:t>评审依据:响应文件提供设备生产厂家的产品说明书或第三方检测机构出具的报告加盖生产厂家公章予以佐证，未提供或提供不合格不得分。</w:t>
            </w:r>
          </w:p>
        </w:tc>
        <w:tc>
          <w:tcPr>
            <w:tcW w:w="1121" w:type="dxa"/>
            <w:vAlign w:val="center"/>
          </w:tcPr>
          <w:p w14:paraId="5F1A557A">
            <w:pPr>
              <w:autoSpaceDE w:val="0"/>
              <w:autoSpaceDN w:val="0"/>
              <w:adjustRightInd w:val="0"/>
              <w:snapToGrid w:val="0"/>
              <w:spacing w:line="400" w:lineRule="exact"/>
              <w:jc w:val="center"/>
              <w:rPr>
                <w:rFonts w:ascii="宋体" w:hAnsi="宋体" w:eastAsia="宋体" w:cs="宋体"/>
                <w:b/>
                <w:bCs/>
                <w:sz w:val="24"/>
              </w:rPr>
            </w:pPr>
            <w:r>
              <w:rPr>
                <w:rFonts w:hint="eastAsia" w:ascii="宋体" w:hAnsi="宋体" w:eastAsia="宋体" w:cs="宋体"/>
                <w:b/>
                <w:bCs/>
                <w:sz w:val="24"/>
              </w:rPr>
              <w:t>10分</w:t>
            </w:r>
          </w:p>
        </w:tc>
      </w:tr>
      <w:tr w14:paraId="53D9A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541" w:type="dxa"/>
            <w:vMerge w:val="continue"/>
            <w:vAlign w:val="center"/>
          </w:tcPr>
          <w:p w14:paraId="1A36C266">
            <w:pPr>
              <w:widowControl/>
              <w:autoSpaceDE w:val="0"/>
              <w:autoSpaceDN w:val="0"/>
              <w:adjustRightInd w:val="0"/>
              <w:snapToGrid w:val="0"/>
              <w:spacing w:line="400" w:lineRule="exact"/>
              <w:jc w:val="both"/>
              <w:rPr>
                <w:rFonts w:ascii="宋体" w:hAnsi="宋体" w:eastAsia="宋体" w:cs="宋体"/>
                <w:spacing w:val="-1"/>
                <w:sz w:val="24"/>
              </w:rPr>
            </w:pPr>
          </w:p>
        </w:tc>
        <w:tc>
          <w:tcPr>
            <w:tcW w:w="7758" w:type="dxa"/>
            <w:gridSpan w:val="2"/>
            <w:vAlign w:val="center"/>
          </w:tcPr>
          <w:p w14:paraId="5D4E7052">
            <w:pPr>
              <w:pStyle w:val="7"/>
              <w:autoSpaceDE w:val="0"/>
              <w:autoSpaceDN w:val="0"/>
              <w:adjustRightInd w:val="0"/>
              <w:spacing w:line="360" w:lineRule="auto"/>
              <w:ind w:firstLine="0" w:firstLineChars="0"/>
              <w:jc w:val="left"/>
              <w:rPr>
                <w:rFonts w:ascii="宋体" w:hAnsi="宋体" w:eastAsia="宋体" w:cs="宋体"/>
                <w:spacing w:val="-1"/>
                <w:sz w:val="24"/>
              </w:rPr>
            </w:pPr>
            <w:r>
              <w:rPr>
                <w:rFonts w:ascii="宋体" w:hAnsi="宋体" w:eastAsia="宋体" w:cs="宋体"/>
                <w:spacing w:val="-1"/>
                <w:sz w:val="24"/>
              </w:rPr>
              <w:t>3.</w:t>
            </w:r>
            <w:r>
              <w:rPr>
                <w:rFonts w:hint="eastAsia" w:ascii="宋体" w:hAnsi="宋体" w:eastAsia="宋体" w:cs="宋体"/>
                <w:spacing w:val="-1"/>
                <w:sz w:val="24"/>
              </w:rPr>
              <w:t>C需求：心率监测范围：成人10～280bpm，小儿/新生儿：10～340bpm。以上2点满足得5分；心率监测范围：成人10～300bpm，小儿/新生儿：10～350bp</w:t>
            </w:r>
            <w:r>
              <w:rPr>
                <w:rFonts w:ascii="宋体" w:hAnsi="宋体" w:eastAsia="宋体" w:cs="宋体"/>
                <w:spacing w:val="-1"/>
                <w:sz w:val="24"/>
              </w:rPr>
              <w:t>m</w:t>
            </w:r>
            <w:r>
              <w:rPr>
                <w:rFonts w:hint="eastAsia" w:ascii="宋体" w:hAnsi="宋体" w:eastAsia="宋体" w:cs="宋体"/>
                <w:spacing w:val="-1"/>
                <w:sz w:val="24"/>
              </w:rPr>
              <w:t>，以上2点全部满足得1</w:t>
            </w:r>
            <w:r>
              <w:rPr>
                <w:rFonts w:ascii="宋体" w:hAnsi="宋体" w:eastAsia="宋体" w:cs="宋体"/>
                <w:spacing w:val="-1"/>
                <w:sz w:val="24"/>
              </w:rPr>
              <w:t>0</w:t>
            </w:r>
            <w:r>
              <w:rPr>
                <w:rFonts w:hint="eastAsia" w:ascii="宋体" w:hAnsi="宋体" w:eastAsia="宋体" w:cs="宋体"/>
                <w:spacing w:val="-1"/>
                <w:sz w:val="24"/>
              </w:rPr>
              <w:t>分，本项最高得10分。</w:t>
            </w:r>
          </w:p>
          <w:p w14:paraId="4CD83091">
            <w:pPr>
              <w:autoSpaceDE w:val="0"/>
              <w:autoSpaceDN w:val="0"/>
              <w:adjustRightInd w:val="0"/>
              <w:snapToGrid w:val="0"/>
              <w:spacing w:line="400" w:lineRule="exact"/>
              <w:rPr>
                <w:rFonts w:ascii="宋体" w:hAnsi="宋体" w:eastAsia="宋体" w:cs="宋体"/>
                <w:spacing w:val="-1"/>
                <w:sz w:val="24"/>
              </w:rPr>
            </w:pPr>
            <w:r>
              <w:rPr>
                <w:rFonts w:hint="eastAsia" w:ascii="宋体" w:hAnsi="宋体" w:eastAsia="宋体"/>
                <w:b/>
                <w:bCs/>
                <w:sz w:val="24"/>
              </w:rPr>
              <w:t>评审依据:响应文件提供设备生产厂家的产品说明书或第三方检测机构出具的报告加盖生产厂家公章予以佐证，未提供或提供不合格不得分。</w:t>
            </w:r>
          </w:p>
        </w:tc>
        <w:tc>
          <w:tcPr>
            <w:tcW w:w="1121" w:type="dxa"/>
            <w:vAlign w:val="center"/>
          </w:tcPr>
          <w:p w14:paraId="55918A06">
            <w:pPr>
              <w:autoSpaceDE w:val="0"/>
              <w:autoSpaceDN w:val="0"/>
              <w:adjustRightInd w:val="0"/>
              <w:snapToGrid w:val="0"/>
              <w:spacing w:line="400" w:lineRule="exact"/>
              <w:jc w:val="center"/>
              <w:rPr>
                <w:rFonts w:ascii="宋体" w:hAnsi="宋体" w:eastAsia="宋体" w:cs="宋体"/>
                <w:b/>
                <w:bCs/>
                <w:sz w:val="24"/>
              </w:rPr>
            </w:pPr>
            <w:r>
              <w:rPr>
                <w:rFonts w:hint="eastAsia" w:ascii="宋体" w:hAnsi="宋体" w:eastAsia="宋体" w:cs="宋体"/>
                <w:b/>
                <w:bCs/>
                <w:sz w:val="24"/>
              </w:rPr>
              <w:t>10分</w:t>
            </w:r>
          </w:p>
        </w:tc>
      </w:tr>
      <w:tr w14:paraId="76B74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541" w:type="dxa"/>
            <w:vMerge w:val="continue"/>
            <w:vAlign w:val="center"/>
          </w:tcPr>
          <w:p w14:paraId="1015C846">
            <w:pPr>
              <w:widowControl/>
              <w:autoSpaceDE w:val="0"/>
              <w:autoSpaceDN w:val="0"/>
              <w:adjustRightInd w:val="0"/>
              <w:snapToGrid w:val="0"/>
              <w:spacing w:line="400" w:lineRule="exact"/>
              <w:jc w:val="both"/>
              <w:rPr>
                <w:rFonts w:ascii="宋体" w:hAnsi="宋体" w:eastAsia="宋体" w:cs="宋体"/>
                <w:spacing w:val="-1"/>
                <w:sz w:val="24"/>
              </w:rPr>
            </w:pPr>
          </w:p>
        </w:tc>
        <w:tc>
          <w:tcPr>
            <w:tcW w:w="7758" w:type="dxa"/>
            <w:gridSpan w:val="2"/>
            <w:vAlign w:val="center"/>
          </w:tcPr>
          <w:p w14:paraId="3D6E4179">
            <w:pPr>
              <w:autoSpaceDE w:val="0"/>
              <w:autoSpaceDN w:val="0"/>
              <w:adjustRightInd w:val="0"/>
              <w:spacing w:line="360" w:lineRule="auto"/>
              <w:rPr>
                <w:rFonts w:asciiTheme="minorEastAsia" w:hAnsiTheme="minorEastAsia"/>
                <w:sz w:val="24"/>
              </w:rPr>
            </w:pPr>
            <w:r>
              <w:rPr>
                <w:rFonts w:hint="eastAsia" w:ascii="宋体" w:hAnsi="宋体" w:eastAsia="宋体"/>
                <w:sz w:val="24"/>
              </w:rPr>
              <w:t>4.D需求：</w:t>
            </w:r>
            <w:r>
              <w:rPr>
                <w:rFonts w:hint="eastAsia" w:asciiTheme="minorEastAsia" w:hAnsiTheme="minorEastAsia" w:eastAsiaTheme="minorEastAsia"/>
                <w:sz w:val="24"/>
              </w:rPr>
              <w:t>提供QRS阈值调节功能，</w:t>
            </w:r>
            <w:r>
              <w:rPr>
                <w:rFonts w:hint="eastAsia" w:ascii="宋体" w:hAnsi="宋体" w:eastAsia="宋体"/>
                <w:sz w:val="24"/>
              </w:rPr>
              <w:t>满足得5分；</w:t>
            </w:r>
            <w:r>
              <w:rPr>
                <w:rFonts w:hint="eastAsia" w:ascii="宋体" w:hAnsi="宋体" w:eastAsia="宋体"/>
                <w:color w:val="000000" w:themeColor="text1"/>
                <w:sz w:val="24"/>
                <w14:textFill>
                  <w14:solidFill>
                    <w14:schemeClr w14:val="tx1"/>
                  </w14:solidFill>
                </w14:textFill>
              </w:rPr>
              <w:t>能有效</w:t>
            </w:r>
            <w:r>
              <w:rPr>
                <w:rFonts w:hint="eastAsia" w:asciiTheme="minorEastAsia" w:hAnsiTheme="minorEastAsia" w:eastAsiaTheme="minorEastAsia"/>
                <w:color w:val="000000" w:themeColor="text1"/>
                <w:sz w:val="24"/>
                <w14:textFill>
                  <w14:solidFill>
                    <w14:schemeClr w14:val="tx1"/>
                  </w14:solidFill>
                </w14:textFill>
              </w:rPr>
              <w:t>避免因R波幅度较低时误报停搏报警，以及某些高T波和高P被误识别为QRS波群，</w:t>
            </w:r>
            <w:r>
              <w:rPr>
                <w:rFonts w:hint="eastAsia" w:ascii="宋体" w:hAnsi="宋体" w:eastAsia="宋体"/>
                <w:color w:val="000000" w:themeColor="text1"/>
                <w:sz w:val="24"/>
                <w14:textFill>
                  <w14:solidFill>
                    <w14:schemeClr w14:val="tx1"/>
                  </w14:solidFill>
                </w14:textFill>
              </w:rPr>
              <w:t>得10分，</w:t>
            </w:r>
            <w:r>
              <w:rPr>
                <w:rFonts w:hint="eastAsia" w:ascii="宋体" w:hAnsi="宋体" w:eastAsia="宋体" w:cs="宋体"/>
                <w:color w:val="000000" w:themeColor="text1"/>
                <w:spacing w:val="-1"/>
                <w:sz w:val="24"/>
                <w14:textFill>
                  <w14:solidFill>
                    <w14:schemeClr w14:val="tx1"/>
                  </w14:solidFill>
                </w14:textFill>
              </w:rPr>
              <w:t>本项最高得10分</w:t>
            </w:r>
            <w:r>
              <w:rPr>
                <w:rFonts w:hint="eastAsia" w:ascii="宋体" w:hAnsi="宋体" w:eastAsia="宋体" w:cs="宋体"/>
                <w:spacing w:val="-1"/>
                <w:sz w:val="24"/>
              </w:rPr>
              <w:t>。</w:t>
            </w:r>
          </w:p>
          <w:p w14:paraId="16126195">
            <w:pPr>
              <w:autoSpaceDE w:val="0"/>
              <w:autoSpaceDN w:val="0"/>
              <w:adjustRightInd w:val="0"/>
              <w:snapToGrid w:val="0"/>
              <w:spacing w:line="400" w:lineRule="exact"/>
              <w:rPr>
                <w:rFonts w:ascii="宋体" w:hAnsi="宋体" w:eastAsia="宋体" w:cs="宋体"/>
                <w:spacing w:val="-1"/>
                <w:sz w:val="24"/>
              </w:rPr>
            </w:pPr>
            <w:r>
              <w:rPr>
                <w:rFonts w:hint="eastAsia" w:ascii="宋体" w:hAnsi="宋体" w:eastAsia="宋体"/>
                <w:b/>
                <w:bCs/>
                <w:sz w:val="24"/>
              </w:rPr>
              <w:t>评审依据:响应文件提供设备生产厂家的产品说明书或第三方检测机构出具的报告加盖生产厂家公章予以佐证，未提供或提供不合格不得分。</w:t>
            </w:r>
          </w:p>
        </w:tc>
        <w:tc>
          <w:tcPr>
            <w:tcW w:w="1121" w:type="dxa"/>
            <w:vAlign w:val="center"/>
          </w:tcPr>
          <w:p w14:paraId="6BB4AB05">
            <w:pPr>
              <w:autoSpaceDE w:val="0"/>
              <w:autoSpaceDN w:val="0"/>
              <w:adjustRightInd w:val="0"/>
              <w:snapToGrid w:val="0"/>
              <w:spacing w:line="400" w:lineRule="exact"/>
              <w:jc w:val="center"/>
              <w:rPr>
                <w:rFonts w:ascii="宋体" w:hAnsi="宋体" w:eastAsia="宋体" w:cs="宋体"/>
                <w:b/>
                <w:bCs/>
                <w:sz w:val="24"/>
              </w:rPr>
            </w:pPr>
            <w:r>
              <w:rPr>
                <w:rFonts w:hint="eastAsia" w:ascii="宋体" w:hAnsi="宋体" w:eastAsia="宋体" w:cs="宋体"/>
                <w:b/>
                <w:bCs/>
                <w:sz w:val="24"/>
              </w:rPr>
              <w:t>10分</w:t>
            </w:r>
          </w:p>
        </w:tc>
      </w:tr>
      <w:tr w14:paraId="3115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541" w:type="dxa"/>
            <w:vMerge w:val="continue"/>
            <w:vAlign w:val="center"/>
          </w:tcPr>
          <w:p w14:paraId="324B2FC5">
            <w:pPr>
              <w:widowControl/>
              <w:autoSpaceDE w:val="0"/>
              <w:autoSpaceDN w:val="0"/>
              <w:adjustRightInd w:val="0"/>
              <w:snapToGrid w:val="0"/>
              <w:spacing w:line="400" w:lineRule="exact"/>
              <w:jc w:val="both"/>
              <w:rPr>
                <w:rFonts w:ascii="宋体" w:hAnsi="宋体" w:eastAsia="宋体" w:cs="宋体"/>
                <w:spacing w:val="-1"/>
                <w:sz w:val="24"/>
              </w:rPr>
            </w:pPr>
          </w:p>
        </w:tc>
        <w:tc>
          <w:tcPr>
            <w:tcW w:w="7758" w:type="dxa"/>
            <w:gridSpan w:val="2"/>
            <w:vAlign w:val="center"/>
          </w:tcPr>
          <w:p w14:paraId="2C034785">
            <w:pPr>
              <w:pStyle w:val="7"/>
              <w:autoSpaceDE w:val="0"/>
              <w:autoSpaceDN w:val="0"/>
              <w:adjustRightInd w:val="0"/>
              <w:spacing w:line="360" w:lineRule="auto"/>
              <w:ind w:firstLine="0" w:firstLineChars="0"/>
              <w:jc w:val="left"/>
              <w:rPr>
                <w:rFonts w:asciiTheme="minorEastAsia" w:hAnsiTheme="minorEastAsia"/>
                <w:sz w:val="24"/>
              </w:rPr>
            </w:pPr>
            <w:r>
              <w:rPr>
                <w:rFonts w:hint="eastAsia" w:ascii="宋体" w:hAnsi="宋体" w:eastAsia="宋体" w:cs="宋体"/>
                <w:spacing w:val="-1"/>
                <w:sz w:val="24"/>
              </w:rPr>
              <w:t>5.E需求：</w:t>
            </w:r>
            <w:r>
              <w:rPr>
                <w:rFonts w:hint="eastAsia" w:asciiTheme="minorEastAsia" w:hAnsiTheme="minorEastAsia"/>
                <w:sz w:val="24"/>
              </w:rPr>
              <w:t>动态趋势界面可支持统计1-24小时心律失常报警、参数超限报警信息，</w:t>
            </w:r>
            <w:r>
              <w:rPr>
                <w:rFonts w:hint="eastAsia" w:ascii="宋体" w:hAnsi="宋体" w:eastAsia="宋体" w:cs="宋体"/>
                <w:spacing w:val="-1"/>
                <w:sz w:val="24"/>
              </w:rPr>
              <w:t>满足得5分；</w:t>
            </w:r>
            <w:r>
              <w:rPr>
                <w:rFonts w:hint="eastAsia" w:asciiTheme="minorEastAsia" w:hAnsiTheme="minorEastAsia"/>
                <w:sz w:val="24"/>
              </w:rPr>
              <w:t>并对超限报警区间的波形进行高亮显示，帮助医护人员快速识别异常趋势信息</w:t>
            </w:r>
            <w:r>
              <w:rPr>
                <w:rFonts w:hint="eastAsia" w:asciiTheme="minorEastAsia" w:hAnsiTheme="minorEastAsia"/>
                <w:color w:val="000000" w:themeColor="text1"/>
                <w:sz w:val="24"/>
                <w14:textFill>
                  <w14:solidFill>
                    <w14:schemeClr w14:val="tx1"/>
                  </w14:solidFill>
                </w14:textFill>
              </w:rPr>
              <w:t>，</w:t>
            </w:r>
            <w:r>
              <w:rPr>
                <w:rFonts w:hint="eastAsia" w:ascii="宋体" w:hAnsi="宋体" w:eastAsia="宋体" w:cs="宋体"/>
                <w:color w:val="000000" w:themeColor="text1"/>
                <w:spacing w:val="-1"/>
                <w:sz w:val="24"/>
                <w14:textFill>
                  <w14:solidFill>
                    <w14:schemeClr w14:val="tx1"/>
                  </w14:solidFill>
                </w14:textFill>
              </w:rPr>
              <w:t>得10分，</w:t>
            </w:r>
            <w:r>
              <w:rPr>
                <w:rFonts w:hint="eastAsia" w:ascii="宋体" w:hAnsi="宋体" w:eastAsia="宋体" w:cs="宋体"/>
                <w:spacing w:val="-1"/>
                <w:sz w:val="24"/>
              </w:rPr>
              <w:t>本项最高得10分。</w:t>
            </w:r>
          </w:p>
          <w:p w14:paraId="539A55D2">
            <w:pPr>
              <w:autoSpaceDE w:val="0"/>
              <w:autoSpaceDN w:val="0"/>
              <w:adjustRightInd w:val="0"/>
              <w:snapToGrid w:val="0"/>
              <w:spacing w:line="400" w:lineRule="exact"/>
              <w:rPr>
                <w:rFonts w:ascii="宋体" w:hAnsi="宋体" w:eastAsia="宋体" w:cs="宋体"/>
                <w:spacing w:val="-1"/>
                <w:sz w:val="24"/>
              </w:rPr>
            </w:pPr>
            <w:r>
              <w:rPr>
                <w:rFonts w:hint="eastAsia" w:ascii="宋体" w:hAnsi="宋体" w:eastAsia="宋体" w:cs="宋体"/>
                <w:b/>
                <w:bCs/>
                <w:spacing w:val="-1"/>
                <w:sz w:val="24"/>
              </w:rPr>
              <w:t>评审依据:</w:t>
            </w:r>
            <w:r>
              <w:rPr>
                <w:rFonts w:hint="eastAsia" w:ascii="宋体" w:hAnsi="宋体" w:eastAsia="宋体"/>
                <w:b/>
                <w:bCs/>
                <w:sz w:val="24"/>
              </w:rPr>
              <w:t>响应文件提供</w:t>
            </w:r>
            <w:r>
              <w:rPr>
                <w:rFonts w:hint="eastAsia" w:ascii="宋体" w:hAnsi="宋体" w:eastAsia="宋体" w:cs="宋体"/>
                <w:b/>
                <w:bCs/>
                <w:spacing w:val="-1"/>
                <w:sz w:val="24"/>
              </w:rPr>
              <w:t>设备生产厂家的</w:t>
            </w:r>
            <w:r>
              <w:rPr>
                <w:rFonts w:hint="eastAsia" w:ascii="宋体" w:hAnsi="宋体" w:eastAsia="宋体"/>
                <w:b/>
                <w:bCs/>
                <w:sz w:val="24"/>
              </w:rPr>
              <w:t>产品说明</w:t>
            </w:r>
            <w:r>
              <w:rPr>
                <w:rFonts w:hint="eastAsia" w:ascii="宋体" w:hAnsi="宋体" w:eastAsia="宋体" w:cs="宋体"/>
                <w:b/>
                <w:bCs/>
                <w:spacing w:val="-1"/>
                <w:sz w:val="24"/>
              </w:rPr>
              <w:t>书或第三方检测机构出具的报告加盖生产厂家公章予以佐证</w:t>
            </w:r>
            <w:r>
              <w:rPr>
                <w:rFonts w:hint="eastAsia" w:ascii="宋体" w:hAnsi="宋体" w:eastAsia="宋体"/>
                <w:b/>
                <w:bCs/>
                <w:sz w:val="24"/>
              </w:rPr>
              <w:t>，未提供或提供不合格不得分。</w:t>
            </w:r>
          </w:p>
        </w:tc>
        <w:tc>
          <w:tcPr>
            <w:tcW w:w="1121" w:type="dxa"/>
            <w:vAlign w:val="center"/>
          </w:tcPr>
          <w:p w14:paraId="304DE9C8">
            <w:pPr>
              <w:autoSpaceDE w:val="0"/>
              <w:autoSpaceDN w:val="0"/>
              <w:adjustRightInd w:val="0"/>
              <w:snapToGrid w:val="0"/>
              <w:spacing w:line="400" w:lineRule="exact"/>
              <w:jc w:val="center"/>
              <w:rPr>
                <w:rFonts w:ascii="宋体" w:hAnsi="宋体" w:eastAsia="宋体" w:cs="宋体"/>
                <w:b/>
                <w:bCs/>
                <w:sz w:val="24"/>
              </w:rPr>
            </w:pPr>
            <w:r>
              <w:rPr>
                <w:rFonts w:hint="eastAsia" w:ascii="宋体" w:hAnsi="宋体" w:eastAsia="宋体" w:cs="宋体"/>
                <w:b/>
                <w:bCs/>
                <w:sz w:val="24"/>
              </w:rPr>
              <w:t>10分</w:t>
            </w:r>
          </w:p>
        </w:tc>
      </w:tr>
      <w:tr w14:paraId="2D1B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420" w:type="dxa"/>
            <w:gridSpan w:val="4"/>
            <w:vAlign w:val="center"/>
          </w:tcPr>
          <w:p w14:paraId="4A833623">
            <w:pPr>
              <w:autoSpaceDE w:val="0"/>
              <w:autoSpaceDN w:val="0"/>
              <w:adjustRightInd w:val="0"/>
              <w:snapToGrid w:val="0"/>
              <w:spacing w:line="400" w:lineRule="exact"/>
              <w:jc w:val="center"/>
              <w:rPr>
                <w:rFonts w:ascii="宋体" w:hAnsi="宋体" w:eastAsia="宋体" w:cs="宋体"/>
                <w:b/>
                <w:bCs/>
                <w:sz w:val="24"/>
              </w:rPr>
            </w:pPr>
            <w:r>
              <w:rPr>
                <w:rFonts w:hint="eastAsia" w:ascii="宋体" w:hAnsi="宋体" w:eastAsia="宋体" w:cs="宋体"/>
                <w:b/>
                <w:bCs/>
                <w:sz w:val="24"/>
              </w:rPr>
              <w:t>（三）商务评审：（10分)</w:t>
            </w:r>
          </w:p>
        </w:tc>
      </w:tr>
      <w:tr w14:paraId="7FA54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541" w:type="dxa"/>
            <w:vAlign w:val="center"/>
          </w:tcPr>
          <w:p w14:paraId="6B1C383C">
            <w:pPr>
              <w:autoSpaceDE w:val="0"/>
              <w:autoSpaceDN w:val="0"/>
              <w:adjustRightInd w:val="0"/>
              <w:snapToGrid w:val="0"/>
              <w:spacing w:line="400" w:lineRule="exact"/>
              <w:jc w:val="center"/>
              <w:rPr>
                <w:rFonts w:ascii="宋体" w:hAnsi="宋体" w:eastAsia="宋体" w:cs="宋体"/>
                <w:b/>
                <w:bCs/>
                <w:sz w:val="24"/>
              </w:rPr>
            </w:pPr>
            <w:r>
              <w:rPr>
                <w:rFonts w:hint="eastAsia" w:ascii="宋体" w:hAnsi="宋体" w:eastAsia="宋体" w:cs="宋体"/>
                <w:b/>
                <w:bCs/>
                <w:sz w:val="24"/>
              </w:rPr>
              <w:t>商务</w:t>
            </w:r>
          </w:p>
          <w:p w14:paraId="38364204">
            <w:pPr>
              <w:autoSpaceDE w:val="0"/>
              <w:autoSpaceDN w:val="0"/>
              <w:adjustRightInd w:val="0"/>
              <w:snapToGrid w:val="0"/>
              <w:spacing w:line="400" w:lineRule="exact"/>
              <w:jc w:val="center"/>
              <w:rPr>
                <w:rFonts w:ascii="宋体" w:hAnsi="宋体" w:eastAsia="宋体" w:cs="宋体"/>
                <w:spacing w:val="-1"/>
                <w:sz w:val="24"/>
              </w:rPr>
            </w:pPr>
            <w:r>
              <w:rPr>
                <w:rFonts w:hint="eastAsia" w:ascii="宋体" w:hAnsi="宋体" w:eastAsia="宋体" w:cs="宋体"/>
                <w:b/>
                <w:bCs/>
                <w:sz w:val="24"/>
              </w:rPr>
              <w:t>条款</w:t>
            </w:r>
          </w:p>
        </w:tc>
        <w:tc>
          <w:tcPr>
            <w:tcW w:w="7758" w:type="dxa"/>
            <w:gridSpan w:val="2"/>
            <w:vAlign w:val="center"/>
          </w:tcPr>
          <w:p w14:paraId="50F5B9D6">
            <w:pPr>
              <w:autoSpaceDE w:val="0"/>
              <w:autoSpaceDN w:val="0"/>
              <w:adjustRightInd w:val="0"/>
              <w:snapToGrid w:val="0"/>
              <w:spacing w:line="400" w:lineRule="exact"/>
              <w:ind w:firstLine="480" w:firstLineChars="200"/>
              <w:jc w:val="both"/>
              <w:rPr>
                <w:rFonts w:ascii="宋体" w:hAnsi="宋体" w:eastAsia="宋体" w:cs="宋体"/>
                <w:sz w:val="24"/>
              </w:rPr>
            </w:pPr>
            <w:r>
              <w:rPr>
                <w:rFonts w:hint="eastAsia" w:ascii="宋体" w:hAnsi="宋体" w:eastAsia="宋体" w:cs="宋体"/>
                <w:sz w:val="24"/>
              </w:rPr>
              <w:t>完全响应磋商文件“第五章货物需求表及采购需求”二、商务条件中所有实质性条款，任何一项不满足投标无效。</w:t>
            </w:r>
          </w:p>
          <w:p w14:paraId="7C68338F">
            <w:pPr>
              <w:autoSpaceDE w:val="0"/>
              <w:autoSpaceDN w:val="0"/>
              <w:adjustRightInd w:val="0"/>
              <w:snapToGrid w:val="0"/>
              <w:spacing w:line="400" w:lineRule="exact"/>
              <w:jc w:val="both"/>
              <w:rPr>
                <w:rFonts w:ascii="宋体" w:hAnsi="宋体" w:eastAsia="宋体" w:cs="宋体"/>
                <w:b/>
                <w:bCs/>
                <w:spacing w:val="-1"/>
                <w:sz w:val="24"/>
              </w:rPr>
            </w:pPr>
            <w:r>
              <w:rPr>
                <w:rFonts w:hint="eastAsia" w:ascii="宋体" w:hAnsi="宋体" w:eastAsia="宋体" w:cs="宋体"/>
                <w:sz w:val="24"/>
              </w:rPr>
              <w:t>评审依据：商务需求响应/偏离表。</w:t>
            </w:r>
          </w:p>
        </w:tc>
        <w:tc>
          <w:tcPr>
            <w:tcW w:w="1121" w:type="dxa"/>
            <w:vAlign w:val="center"/>
          </w:tcPr>
          <w:p w14:paraId="45FDA2FF">
            <w:pPr>
              <w:autoSpaceDE w:val="0"/>
              <w:autoSpaceDN w:val="0"/>
              <w:adjustRightInd w:val="0"/>
              <w:snapToGrid w:val="0"/>
              <w:spacing w:line="400" w:lineRule="exact"/>
              <w:jc w:val="center"/>
              <w:rPr>
                <w:rFonts w:ascii="宋体" w:hAnsi="宋体" w:eastAsia="宋体" w:cs="宋体"/>
                <w:b/>
                <w:bCs/>
                <w:sz w:val="24"/>
              </w:rPr>
            </w:pPr>
            <w:r>
              <w:rPr>
                <w:rFonts w:hint="eastAsia" w:ascii="宋体" w:hAnsi="宋体" w:eastAsia="宋体" w:cs="宋体"/>
                <w:b/>
                <w:bCs/>
                <w:sz w:val="24"/>
              </w:rPr>
              <w:t>符合性审查</w:t>
            </w:r>
          </w:p>
        </w:tc>
      </w:tr>
      <w:tr w14:paraId="78AD7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541" w:type="dxa"/>
            <w:vAlign w:val="center"/>
          </w:tcPr>
          <w:p w14:paraId="207E5E4F">
            <w:pPr>
              <w:autoSpaceDE w:val="0"/>
              <w:autoSpaceDN w:val="0"/>
              <w:adjustRightInd w:val="0"/>
              <w:snapToGrid w:val="0"/>
              <w:spacing w:line="400" w:lineRule="exact"/>
              <w:jc w:val="center"/>
              <w:rPr>
                <w:rFonts w:ascii="宋体" w:hAnsi="宋体" w:eastAsia="宋体" w:cs="宋体"/>
                <w:b/>
                <w:bCs/>
                <w:sz w:val="24"/>
              </w:rPr>
            </w:pPr>
            <w:r>
              <w:rPr>
                <w:rFonts w:hint="eastAsia" w:ascii="宋体" w:hAnsi="宋体" w:eastAsia="宋体" w:cs="宋体"/>
                <w:b/>
                <w:bCs/>
                <w:sz w:val="24"/>
              </w:rPr>
              <w:t>业绩(6分)</w:t>
            </w:r>
          </w:p>
        </w:tc>
        <w:tc>
          <w:tcPr>
            <w:tcW w:w="7758" w:type="dxa"/>
            <w:gridSpan w:val="2"/>
            <w:vAlign w:val="center"/>
          </w:tcPr>
          <w:p w14:paraId="4D4512D1">
            <w:pPr>
              <w:widowControl/>
              <w:autoSpaceDE w:val="0"/>
              <w:autoSpaceDN w:val="0"/>
              <w:adjustRightInd w:val="0"/>
              <w:snapToGrid w:val="0"/>
              <w:spacing w:line="400" w:lineRule="exact"/>
              <w:jc w:val="both"/>
              <w:rPr>
                <w:rFonts w:ascii="宋体" w:hAnsi="宋体" w:eastAsia="宋体" w:cs="宋体"/>
                <w:spacing w:val="-1"/>
                <w:sz w:val="24"/>
              </w:rPr>
            </w:pPr>
            <w:r>
              <w:rPr>
                <w:rFonts w:hint="eastAsia" w:ascii="宋体" w:hAnsi="宋体" w:eastAsia="宋体" w:cs="宋体"/>
                <w:spacing w:val="-1"/>
                <w:sz w:val="24"/>
              </w:rPr>
              <w:t>供应商提供2020年（合同签订时间为准）至磋商截止时间内类似项目业绩，每提供一份得3分，最高得6分。</w:t>
            </w:r>
          </w:p>
          <w:p w14:paraId="02406802">
            <w:pPr>
              <w:widowControl/>
              <w:autoSpaceDE w:val="0"/>
              <w:autoSpaceDN w:val="0"/>
              <w:adjustRightInd w:val="0"/>
              <w:snapToGrid w:val="0"/>
              <w:spacing w:line="400" w:lineRule="exact"/>
              <w:jc w:val="both"/>
              <w:rPr>
                <w:rFonts w:ascii="宋体" w:hAnsi="宋体" w:eastAsia="宋体" w:cs="宋体"/>
                <w:spacing w:val="-1"/>
                <w:sz w:val="24"/>
              </w:rPr>
            </w:pPr>
            <w:r>
              <w:rPr>
                <w:rFonts w:hint="eastAsia" w:ascii="宋体" w:hAnsi="宋体" w:eastAsia="宋体" w:cs="宋体"/>
                <w:b/>
                <w:bCs/>
                <w:spacing w:val="-1"/>
                <w:sz w:val="24"/>
              </w:rPr>
              <w:t>评审依据：</w:t>
            </w:r>
            <w:r>
              <w:rPr>
                <w:rFonts w:hint="eastAsia" w:ascii="宋体" w:hAnsi="宋体" w:eastAsia="宋体"/>
                <w:b/>
                <w:bCs/>
                <w:sz w:val="24"/>
              </w:rPr>
              <w:t>响应文件</w:t>
            </w:r>
            <w:r>
              <w:rPr>
                <w:rFonts w:hint="eastAsia" w:ascii="宋体" w:hAnsi="宋体" w:eastAsia="宋体" w:cs="宋体"/>
                <w:b/>
                <w:bCs/>
                <w:spacing w:val="-1"/>
                <w:sz w:val="24"/>
              </w:rPr>
              <w:t>提供业绩中标通知书或者合同予以佐证，</w:t>
            </w:r>
            <w:r>
              <w:rPr>
                <w:rFonts w:hint="eastAsia" w:ascii="宋体" w:hAnsi="宋体" w:eastAsia="宋体"/>
                <w:b/>
                <w:bCs/>
                <w:sz w:val="24"/>
              </w:rPr>
              <w:t>未提供或提供不合格不得分。</w:t>
            </w:r>
          </w:p>
        </w:tc>
        <w:tc>
          <w:tcPr>
            <w:tcW w:w="1121" w:type="dxa"/>
            <w:vAlign w:val="center"/>
          </w:tcPr>
          <w:p w14:paraId="609D5924">
            <w:pPr>
              <w:widowControl/>
              <w:autoSpaceDE w:val="0"/>
              <w:autoSpaceDN w:val="0"/>
              <w:adjustRightInd w:val="0"/>
              <w:snapToGrid w:val="0"/>
              <w:spacing w:line="400" w:lineRule="exact"/>
              <w:jc w:val="center"/>
              <w:rPr>
                <w:rFonts w:ascii="宋体" w:hAnsi="宋体" w:eastAsia="宋体" w:cs="宋体"/>
                <w:spacing w:val="-1"/>
                <w:sz w:val="24"/>
              </w:rPr>
            </w:pPr>
            <w:r>
              <w:rPr>
                <w:rFonts w:hint="eastAsia" w:ascii="宋体" w:hAnsi="宋体" w:eastAsia="宋体" w:cs="宋体"/>
                <w:spacing w:val="-1"/>
                <w:sz w:val="24"/>
              </w:rPr>
              <w:t>6分</w:t>
            </w:r>
          </w:p>
        </w:tc>
      </w:tr>
      <w:tr w14:paraId="6469A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541" w:type="dxa"/>
            <w:vAlign w:val="center"/>
          </w:tcPr>
          <w:p w14:paraId="31D9AE43">
            <w:pPr>
              <w:widowControl/>
              <w:autoSpaceDE w:val="0"/>
              <w:autoSpaceDN w:val="0"/>
              <w:adjustRightInd w:val="0"/>
              <w:snapToGrid w:val="0"/>
              <w:spacing w:line="400" w:lineRule="exact"/>
              <w:jc w:val="center"/>
              <w:rPr>
                <w:rFonts w:ascii="宋体" w:hAnsi="宋体" w:eastAsia="宋体" w:cs="宋体"/>
                <w:b/>
                <w:bCs/>
                <w:spacing w:val="-1"/>
                <w:sz w:val="24"/>
              </w:rPr>
            </w:pPr>
            <w:r>
              <w:rPr>
                <w:rFonts w:hint="eastAsia" w:ascii="宋体" w:hAnsi="宋体" w:eastAsia="宋体" w:cs="宋体"/>
                <w:b/>
                <w:bCs/>
                <w:spacing w:val="-1"/>
                <w:sz w:val="24"/>
              </w:rPr>
              <w:t>质保年限</w:t>
            </w:r>
          </w:p>
          <w:p w14:paraId="132D18CC">
            <w:pPr>
              <w:widowControl/>
              <w:autoSpaceDE w:val="0"/>
              <w:autoSpaceDN w:val="0"/>
              <w:adjustRightInd w:val="0"/>
              <w:snapToGrid w:val="0"/>
              <w:spacing w:line="400" w:lineRule="exact"/>
              <w:jc w:val="center"/>
              <w:rPr>
                <w:rFonts w:ascii="宋体" w:hAnsi="宋体" w:eastAsia="宋体" w:cs="宋体"/>
                <w:spacing w:val="-1"/>
                <w:sz w:val="24"/>
              </w:rPr>
            </w:pPr>
            <w:r>
              <w:rPr>
                <w:rFonts w:hint="eastAsia" w:ascii="宋体" w:hAnsi="宋体" w:eastAsia="宋体" w:cs="宋体"/>
                <w:b/>
                <w:bCs/>
                <w:spacing w:val="-1"/>
                <w:sz w:val="24"/>
              </w:rPr>
              <w:t>（</w:t>
            </w:r>
            <w:r>
              <w:rPr>
                <w:rFonts w:hint="eastAsia" w:ascii="宋体" w:hAnsi="宋体" w:eastAsia="宋体" w:cs="宋体"/>
                <w:b/>
                <w:bCs/>
                <w:spacing w:val="-1"/>
                <w:sz w:val="24"/>
                <w:lang w:eastAsia="zh"/>
                <w:woUserID w:val="1"/>
              </w:rPr>
              <w:t>4</w:t>
            </w:r>
            <w:r>
              <w:rPr>
                <w:rFonts w:hint="eastAsia" w:ascii="宋体" w:hAnsi="宋体" w:eastAsia="宋体" w:cs="宋体"/>
                <w:b/>
                <w:bCs/>
                <w:spacing w:val="-1"/>
                <w:sz w:val="24"/>
              </w:rPr>
              <w:t>分）</w:t>
            </w:r>
          </w:p>
        </w:tc>
        <w:tc>
          <w:tcPr>
            <w:tcW w:w="7758" w:type="dxa"/>
            <w:gridSpan w:val="2"/>
            <w:vAlign w:val="center"/>
          </w:tcPr>
          <w:p w14:paraId="4C4DE64A">
            <w:pPr>
              <w:widowControl/>
              <w:autoSpaceDE w:val="0"/>
              <w:autoSpaceDN w:val="0"/>
              <w:adjustRightInd w:val="0"/>
              <w:snapToGrid w:val="0"/>
              <w:spacing w:line="400" w:lineRule="exact"/>
              <w:jc w:val="both"/>
              <w:rPr>
                <w:rFonts w:ascii="宋体" w:hAnsi="宋体" w:eastAsia="宋体" w:cs="宋体"/>
                <w:spacing w:val="-1"/>
                <w:sz w:val="24"/>
              </w:rPr>
            </w:pPr>
            <w:r>
              <w:rPr>
                <w:rFonts w:hint="eastAsia" w:ascii="宋体" w:hAnsi="宋体" w:eastAsia="宋体" w:cs="宋体"/>
                <w:spacing w:val="-1"/>
                <w:sz w:val="24"/>
              </w:rPr>
              <w:t>投标人所投货物（设备整机）在满足磋商文件要求基础上，承诺质保3年得2分；每增加一年得1分，最高得4分。</w:t>
            </w:r>
          </w:p>
          <w:p w14:paraId="6D0317A1">
            <w:pPr>
              <w:widowControl/>
              <w:autoSpaceDE w:val="0"/>
              <w:autoSpaceDN w:val="0"/>
              <w:adjustRightInd w:val="0"/>
              <w:snapToGrid w:val="0"/>
              <w:spacing w:line="400" w:lineRule="exact"/>
              <w:jc w:val="both"/>
              <w:rPr>
                <w:rFonts w:ascii="宋体" w:hAnsi="宋体" w:eastAsia="宋体" w:cs="宋体"/>
                <w:spacing w:val="-1"/>
                <w:sz w:val="24"/>
              </w:rPr>
            </w:pPr>
            <w:r>
              <w:rPr>
                <w:rFonts w:hint="eastAsia" w:ascii="宋体" w:hAnsi="宋体" w:eastAsia="宋体" w:cs="宋体"/>
                <w:b/>
                <w:bCs/>
                <w:spacing w:val="-1"/>
                <w:sz w:val="24"/>
              </w:rPr>
              <w:t>评审依据：</w:t>
            </w:r>
            <w:r>
              <w:rPr>
                <w:rFonts w:hint="eastAsia" w:ascii="宋体" w:hAnsi="宋体" w:eastAsia="宋体"/>
                <w:b/>
                <w:bCs/>
                <w:sz w:val="24"/>
              </w:rPr>
              <w:t>响应文件</w:t>
            </w:r>
            <w:r>
              <w:rPr>
                <w:rFonts w:hint="eastAsia" w:ascii="宋体" w:hAnsi="宋体" w:eastAsia="宋体" w:cs="宋体"/>
                <w:b/>
                <w:bCs/>
                <w:spacing w:val="-1"/>
                <w:sz w:val="24"/>
              </w:rPr>
              <w:t>提供质保年限承诺函（格式自拟）并加盖制造商公章参与评审，</w:t>
            </w:r>
            <w:r>
              <w:rPr>
                <w:rFonts w:hint="eastAsia" w:ascii="宋体" w:hAnsi="宋体" w:eastAsia="宋体"/>
                <w:b/>
                <w:bCs/>
                <w:sz w:val="24"/>
              </w:rPr>
              <w:t>未提供或提供不合格不得分。</w:t>
            </w:r>
          </w:p>
        </w:tc>
        <w:tc>
          <w:tcPr>
            <w:tcW w:w="1121" w:type="dxa"/>
            <w:vAlign w:val="center"/>
          </w:tcPr>
          <w:p w14:paraId="3C4EC1D5">
            <w:pPr>
              <w:widowControl/>
              <w:autoSpaceDE w:val="0"/>
              <w:autoSpaceDN w:val="0"/>
              <w:adjustRightInd w:val="0"/>
              <w:snapToGrid w:val="0"/>
              <w:spacing w:line="400" w:lineRule="exact"/>
              <w:jc w:val="center"/>
              <w:rPr>
                <w:rFonts w:ascii="宋体" w:hAnsi="宋体" w:eastAsia="宋体" w:cs="宋体"/>
                <w:spacing w:val="-1"/>
                <w:sz w:val="24"/>
              </w:rPr>
            </w:pPr>
            <w:r>
              <w:rPr>
                <w:rFonts w:hint="eastAsia" w:ascii="宋体" w:hAnsi="宋体" w:eastAsia="宋体" w:cs="宋体"/>
                <w:spacing w:val="-1"/>
                <w:sz w:val="24"/>
              </w:rPr>
              <w:t>4分</w:t>
            </w:r>
          </w:p>
        </w:tc>
      </w:tr>
    </w:tbl>
    <w:p w14:paraId="12CEBFFC"/>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F131AD"/>
    <w:rsid w:val="0007686D"/>
    <w:rsid w:val="000D4D61"/>
    <w:rsid w:val="000D71E8"/>
    <w:rsid w:val="0023337A"/>
    <w:rsid w:val="00270B65"/>
    <w:rsid w:val="004A04C6"/>
    <w:rsid w:val="00583A90"/>
    <w:rsid w:val="005B1EC0"/>
    <w:rsid w:val="00641E8C"/>
    <w:rsid w:val="007C1311"/>
    <w:rsid w:val="00881FCD"/>
    <w:rsid w:val="00976DE5"/>
    <w:rsid w:val="00A0001B"/>
    <w:rsid w:val="00B75E9A"/>
    <w:rsid w:val="00C930F8"/>
    <w:rsid w:val="00D54BA3"/>
    <w:rsid w:val="00E83AD8"/>
    <w:rsid w:val="00EB4F6D"/>
    <w:rsid w:val="00FF7DBA"/>
    <w:rsid w:val="03BB7FBE"/>
    <w:rsid w:val="07196581"/>
    <w:rsid w:val="11AA77FB"/>
    <w:rsid w:val="12530C8A"/>
    <w:rsid w:val="18651DAA"/>
    <w:rsid w:val="19113135"/>
    <w:rsid w:val="1B640F48"/>
    <w:rsid w:val="1F1F1FCB"/>
    <w:rsid w:val="1F204D21"/>
    <w:rsid w:val="221550A1"/>
    <w:rsid w:val="24913FBF"/>
    <w:rsid w:val="25044512"/>
    <w:rsid w:val="28770115"/>
    <w:rsid w:val="2A707492"/>
    <w:rsid w:val="2F862F2B"/>
    <w:rsid w:val="318C4C58"/>
    <w:rsid w:val="35042848"/>
    <w:rsid w:val="3690626B"/>
    <w:rsid w:val="38484FF9"/>
    <w:rsid w:val="3E105CFE"/>
    <w:rsid w:val="45E53BE4"/>
    <w:rsid w:val="495F6268"/>
    <w:rsid w:val="4A5C0958"/>
    <w:rsid w:val="4BB415B9"/>
    <w:rsid w:val="4CF72575"/>
    <w:rsid w:val="4D8578F2"/>
    <w:rsid w:val="524E53C7"/>
    <w:rsid w:val="53F131AD"/>
    <w:rsid w:val="5A897880"/>
    <w:rsid w:val="60F204FF"/>
    <w:rsid w:val="65F738B1"/>
    <w:rsid w:val="6B577F22"/>
    <w:rsid w:val="6D6F471B"/>
    <w:rsid w:val="759F39F8"/>
    <w:rsid w:val="7AF14641"/>
    <w:rsid w:val="B7EFD80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pPr>
    <w:rPr>
      <w:rFonts w:eastAsia="仿宋_GB2312" w:asciiTheme="minorHAnsi" w:hAnsiTheme="minorHAnsi" w:cstheme="minorBidi"/>
      <w:kern w:val="2"/>
      <w:sz w:val="32"/>
      <w:szCs w:val="24"/>
      <w:lang w:val="en-US" w:eastAsia="zh-CN" w:bidi="ar-SA"/>
    </w:rPr>
  </w:style>
  <w:style w:type="paragraph" w:styleId="2">
    <w:name w:val="heading 1"/>
    <w:basedOn w:val="1"/>
    <w:next w:val="1"/>
    <w:qFormat/>
    <w:uiPriority w:val="0"/>
    <w:pPr>
      <w:keepNext/>
      <w:keepLines/>
      <w:spacing w:before="340" w:after="330" w:line="720" w:lineRule="exact"/>
      <w:jc w:val="center"/>
      <w:outlineLvl w:val="0"/>
    </w:pPr>
    <w:rPr>
      <w:rFonts w:eastAsia="方正小标宋简体"/>
      <w:kern w:val="44"/>
      <w:sz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spacing w:line="240" w:lineRule="atLeas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7">
    <w:name w:val="List Paragraph"/>
    <w:basedOn w:val="1"/>
    <w:qFormat/>
    <w:uiPriority w:val="34"/>
    <w:pPr>
      <w:spacing w:line="240" w:lineRule="auto"/>
      <w:ind w:firstLine="420" w:firstLineChars="200"/>
      <w:jc w:val="both"/>
    </w:pPr>
    <w:rPr>
      <w:rFonts w:eastAsiaTheme="minorEastAsia"/>
      <w:sz w:val="21"/>
    </w:rPr>
  </w:style>
  <w:style w:type="character" w:customStyle="1" w:styleId="8">
    <w:name w:val="页眉 字符"/>
    <w:basedOn w:val="6"/>
    <w:link w:val="4"/>
    <w:qFormat/>
    <w:uiPriority w:val="0"/>
    <w:rPr>
      <w:rFonts w:eastAsia="仿宋_GB2312" w:asciiTheme="minorHAnsi" w:hAnsiTheme="minorHAnsi" w:cstheme="minorBidi"/>
      <w:kern w:val="2"/>
      <w:sz w:val="18"/>
      <w:szCs w:val="18"/>
    </w:rPr>
  </w:style>
  <w:style w:type="character" w:customStyle="1" w:styleId="9">
    <w:name w:val="页脚 字符"/>
    <w:basedOn w:val="6"/>
    <w:link w:val="3"/>
    <w:qFormat/>
    <w:uiPriority w:val="0"/>
    <w:rPr>
      <w:rFonts w:eastAsia="仿宋_GB2312" w:asciiTheme="minorHAnsi" w:hAnsiTheme="minorHAnsi"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1602</Words>
  <Characters>1694</Characters>
  <Lines>14</Lines>
  <Paragraphs>3</Paragraphs>
  <TotalTime>52</TotalTime>
  <ScaleCrop>false</ScaleCrop>
  <LinksUpToDate>false</LinksUpToDate>
  <CharactersWithSpaces>1695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2026-08-13T15:22:00Z</dcterms:created>
  <dc:creator>妤_</dc:creator>
  <cp:lastModifiedBy>南方天</cp:lastModifiedBy>
  <dcterms:modified xsi:type="dcterms:W3CDTF">2026-10-14T02:49:34Z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1BFBAA23230A21715102846A07D6FE54_43</vt:lpwstr>
  </property>
  <property fmtid="{D5CDD505-2E9C-101B-9397-08002B2CF9AE}" pid="4" name="KSOTemplateDocerSaveRecord">
    <vt:lpwstr>eyJoZGlkIjoiZWRiZTA0OWJjZjFhNTA3MjAxZjQ5YjM3MjgzZDM5OTgiLCJ1c2VySWQiOiIzMTYyODU1OTQifQ==</vt:lpwstr>
  </property>
</Properties>
</file>